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23322">
      <w:pPr>
        <w:rPr>
          <w:rFonts w:ascii="Times New Roman" w:hAnsi="Times New Roman" w:eastAsia="黑体"/>
          <w:sz w:val="52"/>
          <w:szCs w:val="52"/>
        </w:rPr>
      </w:pPr>
    </w:p>
    <w:p w14:paraId="4542DA96">
      <w:pPr>
        <w:pStyle w:val="4"/>
        <w:jc w:val="center"/>
        <w:rPr>
          <w:rFonts w:ascii="Times New Roman" w:hAnsi="Times New Roman"/>
        </w:rPr>
      </w:pPr>
      <w:r>
        <w:rPr>
          <w:rFonts w:hint="eastAsia" w:ascii="Times New Roman" w:hAnsi="Times New Roman"/>
        </w:rPr>
        <w:t>《</w:t>
      </w:r>
      <w:r>
        <w:rPr>
          <w:rFonts w:hint="eastAsia" w:ascii="Times New Roman" w:hAnsi="Times New Roman"/>
          <w:lang w:eastAsia="zh-CN"/>
        </w:rPr>
        <w:t>电能信息采集终端光纤通信单元</w:t>
      </w:r>
      <w:r>
        <w:rPr>
          <w:rFonts w:hint="eastAsia" w:ascii="Times New Roman" w:hAnsi="Times New Roman"/>
        </w:rPr>
        <w:t>》</w:t>
      </w:r>
    </w:p>
    <w:p w14:paraId="22C9BE57">
      <w:pPr>
        <w:rPr>
          <w:rFonts w:ascii="Times New Roman" w:hAnsi="Times New Roman"/>
          <w:sz w:val="32"/>
          <w:szCs w:val="32"/>
        </w:rPr>
      </w:pPr>
    </w:p>
    <w:p w14:paraId="077F9C19">
      <w:pPr>
        <w:rPr>
          <w:rFonts w:ascii="Times New Roman" w:hAnsi="Times New Roman"/>
          <w:sz w:val="32"/>
          <w:szCs w:val="32"/>
        </w:rPr>
      </w:pPr>
    </w:p>
    <w:p w14:paraId="0080F147">
      <w:pPr>
        <w:rPr>
          <w:rFonts w:ascii="Times New Roman" w:hAnsi="Times New Roman"/>
          <w:sz w:val="32"/>
          <w:szCs w:val="32"/>
        </w:rPr>
      </w:pPr>
    </w:p>
    <w:p w14:paraId="042BF709">
      <w:pPr>
        <w:pStyle w:val="4"/>
        <w:jc w:val="center"/>
        <w:rPr>
          <w:rFonts w:ascii="Times New Roman" w:hAnsi="Times New Roman"/>
        </w:rPr>
      </w:pPr>
      <w:r>
        <w:rPr>
          <w:rFonts w:hint="eastAsia" w:ascii="Times New Roman" w:hAnsi="Times New Roman"/>
        </w:rPr>
        <w:t>编制说明</w:t>
      </w:r>
    </w:p>
    <w:p w14:paraId="5ADAF36D">
      <w:pPr>
        <w:jc w:val="center"/>
        <w:rPr>
          <w:rFonts w:ascii="Times New Roman" w:hAnsi="Times New Roman"/>
          <w:sz w:val="28"/>
          <w:szCs w:val="28"/>
        </w:rPr>
      </w:pPr>
      <w:r>
        <w:rPr>
          <w:rFonts w:hint="eastAsia" w:ascii="Times New Roman" w:hAnsi="Times New Roman"/>
          <w:sz w:val="28"/>
          <w:szCs w:val="28"/>
        </w:rPr>
        <w:t>（</w:t>
      </w:r>
      <w:r>
        <w:rPr>
          <w:rFonts w:hint="eastAsia" w:ascii="Times New Roman" w:hAnsi="Times New Roman"/>
          <w:b/>
          <w:bCs/>
          <w:sz w:val="28"/>
          <w:szCs w:val="28"/>
          <w:lang w:val="en-US" w:eastAsia="zh-CN"/>
        </w:rPr>
        <w:t>征求意见</w:t>
      </w:r>
      <w:r>
        <w:rPr>
          <w:rFonts w:hint="eastAsia" w:ascii="Times New Roman" w:hAnsi="Times New Roman"/>
          <w:b/>
          <w:bCs/>
          <w:sz w:val="28"/>
          <w:szCs w:val="28"/>
        </w:rPr>
        <w:t>稿</w:t>
      </w:r>
      <w:r>
        <w:rPr>
          <w:rFonts w:hint="eastAsia" w:ascii="Times New Roman" w:hAnsi="Times New Roman"/>
          <w:sz w:val="28"/>
          <w:szCs w:val="28"/>
        </w:rPr>
        <w:t>）</w:t>
      </w:r>
    </w:p>
    <w:p w14:paraId="618A6E88">
      <w:pPr>
        <w:rPr>
          <w:rFonts w:ascii="Times New Roman" w:hAnsi="Times New Roman"/>
          <w:sz w:val="28"/>
          <w:szCs w:val="28"/>
        </w:rPr>
      </w:pPr>
      <w:r>
        <w:rPr>
          <w:rFonts w:hint="eastAsia" w:ascii="Times New Roman" w:hAnsi="Times New Roman"/>
          <w:sz w:val="28"/>
          <w:szCs w:val="28"/>
        </w:rPr>
        <w:t xml:space="preserve">                          </w:t>
      </w:r>
    </w:p>
    <w:p w14:paraId="5C216615">
      <w:pPr>
        <w:rPr>
          <w:rFonts w:ascii="Times New Roman" w:hAnsi="Times New Roman"/>
          <w:sz w:val="28"/>
          <w:szCs w:val="28"/>
        </w:rPr>
      </w:pPr>
    </w:p>
    <w:p w14:paraId="513004F1">
      <w:pPr>
        <w:rPr>
          <w:rFonts w:ascii="Times New Roman" w:hAnsi="Times New Roman"/>
          <w:sz w:val="28"/>
          <w:szCs w:val="28"/>
        </w:rPr>
      </w:pPr>
    </w:p>
    <w:p w14:paraId="4B19F60E">
      <w:pPr>
        <w:rPr>
          <w:rFonts w:ascii="Times New Roman" w:hAnsi="Times New Roman"/>
          <w:sz w:val="28"/>
          <w:szCs w:val="28"/>
        </w:rPr>
      </w:pPr>
    </w:p>
    <w:p w14:paraId="781B5F31">
      <w:pPr>
        <w:rPr>
          <w:rFonts w:ascii="Times New Roman" w:hAnsi="Times New Roman"/>
          <w:sz w:val="28"/>
          <w:szCs w:val="28"/>
        </w:rPr>
      </w:pPr>
    </w:p>
    <w:p w14:paraId="40F0DBD7">
      <w:pPr>
        <w:jc w:val="center"/>
        <w:rPr>
          <w:rFonts w:hint="default" w:ascii="Times New Roman" w:hAnsi="Times New Roman" w:eastAsia="宋体"/>
          <w:sz w:val="28"/>
          <w:szCs w:val="28"/>
          <w:lang w:val="en-US" w:eastAsia="zh-CN"/>
        </w:rPr>
      </w:pPr>
      <w:r>
        <w:rPr>
          <w:rFonts w:hint="eastAsia" w:ascii="Times New Roman" w:hAnsi="Times New Roman"/>
          <w:sz w:val="28"/>
          <w:szCs w:val="28"/>
        </w:rPr>
        <w:t>202</w:t>
      </w:r>
      <w:r>
        <w:rPr>
          <w:rFonts w:hint="eastAsia" w:ascii="Times New Roman" w:hAnsi="Times New Roman"/>
          <w:sz w:val="28"/>
          <w:szCs w:val="28"/>
          <w:lang w:val="en-US" w:eastAsia="zh-CN"/>
        </w:rPr>
        <w:t>607</w:t>
      </w:r>
    </w:p>
    <w:p w14:paraId="1407140A">
      <w:pPr>
        <w:pStyle w:val="22"/>
        <w:ind w:firstLine="0" w:firstLineChars="0"/>
        <w:jc w:val="center"/>
        <w:rPr>
          <w:rFonts w:hint="eastAsia" w:ascii="黑体" w:hAnsi="黑体" w:eastAsia="黑体" w:cs="黑体"/>
          <w:sz w:val="28"/>
          <w:szCs w:val="28"/>
        </w:rPr>
      </w:pPr>
    </w:p>
    <w:p w14:paraId="48825D57">
      <w:pPr>
        <w:pStyle w:val="22"/>
        <w:ind w:firstLine="1400" w:firstLineChars="500"/>
        <w:jc w:val="left"/>
        <w:rPr>
          <w:rFonts w:hint="eastAsia" w:ascii="黑体" w:hAnsi="黑体" w:eastAsia="黑体" w:cs="黑体"/>
          <w:sz w:val="28"/>
          <w:szCs w:val="28"/>
        </w:rPr>
      </w:pPr>
    </w:p>
    <w:p w14:paraId="4D1E0524">
      <w:pPr>
        <w:pStyle w:val="22"/>
        <w:ind w:firstLine="0" w:firstLineChars="0"/>
        <w:jc w:val="left"/>
        <w:rPr>
          <w:rFonts w:hint="eastAsia" w:ascii="黑体" w:hAnsi="黑体" w:eastAsia="黑体" w:cs="黑体"/>
          <w:sz w:val="28"/>
          <w:szCs w:val="28"/>
        </w:rPr>
      </w:pPr>
    </w:p>
    <w:p w14:paraId="242C1231">
      <w:pPr>
        <w:pStyle w:val="24"/>
        <w:spacing w:before="360" w:after="360"/>
        <w:rPr>
          <w:rFonts w:hint="eastAsia" w:hAnsi="黑体" w:cs="黑体"/>
          <w:shd w:val="clear" w:color="auto" w:fill="FFFFFF"/>
        </w:rPr>
        <w:sectPr>
          <w:pgSz w:w="11906" w:h="16838"/>
          <w:pgMar w:top="1440" w:right="1800" w:bottom="1440" w:left="1800" w:header="851" w:footer="992" w:gutter="0"/>
          <w:cols w:space="720" w:num="1"/>
          <w:docGrid w:type="lines" w:linePitch="312" w:charSpace="0"/>
        </w:sectPr>
      </w:pPr>
    </w:p>
    <w:p w14:paraId="5B9411F6">
      <w:pPr>
        <w:pStyle w:val="5"/>
        <w:rPr>
          <w:rFonts w:hint="eastAsia" w:ascii="宋体" w:hAnsi="宋体" w:cs="宋体"/>
          <w:sz w:val="28"/>
          <w:szCs w:val="28"/>
        </w:rPr>
      </w:pPr>
      <w:r>
        <w:rPr>
          <w:rFonts w:hint="eastAsia" w:ascii="宋体" w:hAnsi="宋体" w:cs="宋体"/>
          <w:sz w:val="28"/>
          <w:szCs w:val="28"/>
        </w:rPr>
        <w:t>一、工作简况</w:t>
      </w:r>
    </w:p>
    <w:p w14:paraId="745271B0">
      <w:pPr>
        <w:rPr>
          <w:rFonts w:hint="eastAsia" w:ascii="宋体" w:hAnsi="宋体" w:cs="宋体"/>
          <w:b/>
          <w:bCs/>
          <w:sz w:val="28"/>
          <w:szCs w:val="28"/>
        </w:rPr>
      </w:pPr>
      <w:r>
        <w:rPr>
          <w:rFonts w:hint="eastAsia" w:ascii="宋体" w:hAnsi="宋体" w:cs="宋体"/>
          <w:b/>
          <w:bCs/>
          <w:sz w:val="28"/>
          <w:szCs w:val="28"/>
        </w:rPr>
        <w:t>1．任务来源</w:t>
      </w:r>
      <w:r>
        <w:rPr>
          <w:rFonts w:hint="eastAsia"/>
          <w:b/>
          <w:bCs/>
        </w:rPr>
        <w:t xml:space="preserve"> </w:t>
      </w:r>
    </w:p>
    <w:p w14:paraId="47B59471">
      <w:pPr>
        <w:pStyle w:val="5"/>
        <w:ind w:firstLine="480" w:firstLineChars="200"/>
        <w:rPr>
          <w:rFonts w:hint="eastAsia" w:ascii="Calibri" w:hAnsi="Calibri"/>
          <w:b w:val="0"/>
          <w:bCs w:val="0"/>
          <w:kern w:val="2"/>
          <w:sz w:val="24"/>
          <w:szCs w:val="24"/>
        </w:rPr>
      </w:pPr>
      <w:r>
        <w:rPr>
          <w:rFonts w:hint="eastAsia" w:ascii="Calibri" w:hAnsi="Calibri"/>
          <w:b w:val="0"/>
          <w:bCs w:val="0"/>
          <w:kern w:val="2"/>
          <w:sz w:val="24"/>
          <w:szCs w:val="24"/>
        </w:rPr>
        <w:t>本团体标准根据中国仪器仪表行业协会《关于&lt;大电流开关内置单相电能表&gt;等7项团体标准立项的批复》（中仪协﹝2024﹞26号）文件立项，项目编号为：T/CIMA 017</w:t>
      </w:r>
      <w:r>
        <w:rPr>
          <w:rFonts w:hint="eastAsia" w:ascii="Calibri" w:hAnsi="Calibri"/>
          <w:b w:val="0"/>
          <w:bCs w:val="0"/>
          <w:kern w:val="2"/>
          <w:sz w:val="24"/>
          <w:szCs w:val="24"/>
          <w:lang w:val="en-US" w:eastAsia="zh-CN"/>
        </w:rPr>
        <w:t>6</w:t>
      </w:r>
      <w:r>
        <w:rPr>
          <w:rFonts w:hint="eastAsia" w:ascii="Calibri" w:hAnsi="Calibri"/>
          <w:b w:val="0"/>
          <w:bCs w:val="0"/>
          <w:kern w:val="2"/>
          <w:sz w:val="24"/>
          <w:szCs w:val="24"/>
        </w:rPr>
        <w:t>，由中国仪器仪表行业协会电工仪器仪表分会提出，中国仪器仪表行业协会归口。计划编制完成年限为2026年。</w:t>
      </w:r>
    </w:p>
    <w:p w14:paraId="1F42197F">
      <w:pPr>
        <w:pStyle w:val="5"/>
        <w:rPr>
          <w:rFonts w:hint="eastAsia" w:ascii="宋体" w:hAnsi="宋体" w:cs="宋体"/>
          <w:sz w:val="28"/>
          <w:szCs w:val="28"/>
        </w:rPr>
      </w:pPr>
      <w:r>
        <w:rPr>
          <w:rFonts w:hint="eastAsia" w:ascii="宋体" w:hAnsi="宋体" w:cs="宋体"/>
          <w:sz w:val="28"/>
          <w:szCs w:val="28"/>
        </w:rPr>
        <w:t>2</w:t>
      </w:r>
      <w:r>
        <w:rPr>
          <w:rFonts w:ascii="宋体" w:hAnsi="宋体" w:cs="宋体"/>
          <w:sz w:val="28"/>
          <w:szCs w:val="28"/>
        </w:rPr>
        <w:t>．主要工作过程</w:t>
      </w:r>
    </w:p>
    <w:p w14:paraId="47166525">
      <w:pPr>
        <w:spacing w:line="400" w:lineRule="exact"/>
        <w:ind w:firstLine="482" w:firstLineChars="200"/>
        <w:rPr>
          <w:rFonts w:asciiTheme="majorEastAsia" w:hAnsiTheme="majorEastAsia" w:eastAsiaTheme="majorEastAsia" w:cstheme="majorEastAsia"/>
          <w:sz w:val="24"/>
        </w:rPr>
      </w:pPr>
      <w:r>
        <w:rPr>
          <w:rFonts w:ascii="宋体" w:hAnsi="宋体" w:cs="宋体"/>
          <w:b/>
          <w:bCs/>
          <w:sz w:val="24"/>
          <w:szCs w:val="24"/>
        </w:rPr>
        <w:t>202</w:t>
      </w:r>
      <w:r>
        <w:rPr>
          <w:rFonts w:hint="eastAsia" w:ascii="宋体" w:hAnsi="宋体" w:cs="宋体"/>
          <w:b/>
          <w:bCs/>
          <w:sz w:val="24"/>
          <w:szCs w:val="24"/>
        </w:rPr>
        <w:t>4</w:t>
      </w:r>
      <w:r>
        <w:rPr>
          <w:rFonts w:ascii="宋体" w:hAnsi="宋体" w:cs="宋体"/>
          <w:b/>
          <w:bCs/>
          <w:sz w:val="24"/>
          <w:szCs w:val="24"/>
        </w:rPr>
        <w:t>年</w:t>
      </w:r>
      <w:r>
        <w:rPr>
          <w:rFonts w:hint="eastAsia" w:ascii="宋体" w:hAnsi="宋体" w:cs="宋体"/>
          <w:b/>
          <w:bCs/>
          <w:sz w:val="24"/>
          <w:szCs w:val="24"/>
          <w:highlight w:val="none"/>
          <w:lang w:val="en-US" w:eastAsia="zh-CN"/>
        </w:rPr>
        <w:t>12</w:t>
      </w:r>
      <w:r>
        <w:rPr>
          <w:rFonts w:hint="eastAsia" w:ascii="宋体" w:hAnsi="宋体" w:cs="宋体"/>
          <w:b/>
          <w:bCs/>
          <w:sz w:val="24"/>
          <w:szCs w:val="24"/>
          <w:highlight w:val="none"/>
        </w:rPr>
        <w:t>月</w:t>
      </w:r>
      <w:r>
        <w:rPr>
          <w:rFonts w:hint="eastAsia" w:ascii="宋体" w:hAnsi="宋体" w:cs="宋体"/>
          <w:bCs/>
          <w:sz w:val="24"/>
          <w:szCs w:val="24"/>
        </w:rPr>
        <w:t>：</w:t>
      </w:r>
      <w:r>
        <w:rPr>
          <w:rFonts w:hint="eastAsia" w:asciiTheme="majorEastAsia" w:hAnsiTheme="majorEastAsia" w:eastAsiaTheme="majorEastAsia" w:cstheme="majorEastAsia"/>
          <w:sz w:val="24"/>
        </w:rPr>
        <w:t>中国仪器仪表行业协会下达了立项的批复，由国网内蒙古东部电力有限公司牵头，组织成立标准起草工作组。</w:t>
      </w:r>
    </w:p>
    <w:p w14:paraId="660650E0">
      <w:pPr>
        <w:spacing w:line="360" w:lineRule="auto"/>
        <w:ind w:firstLine="472" w:firstLineChars="196"/>
        <w:rPr>
          <w:rFonts w:hint="eastAsia" w:ascii="宋体" w:hAnsi="宋体" w:cs="宋体"/>
          <w:bCs/>
          <w:sz w:val="24"/>
          <w:szCs w:val="24"/>
        </w:rPr>
      </w:pPr>
      <w:r>
        <w:rPr>
          <w:rFonts w:ascii="宋体" w:hAnsi="宋体" w:cs="宋体"/>
          <w:b/>
          <w:bCs/>
          <w:sz w:val="24"/>
          <w:szCs w:val="24"/>
        </w:rPr>
        <w:t>202</w:t>
      </w:r>
      <w:r>
        <w:rPr>
          <w:rFonts w:hint="eastAsia" w:ascii="宋体" w:hAnsi="宋体" w:cs="宋体"/>
          <w:b/>
          <w:bCs/>
          <w:sz w:val="24"/>
          <w:szCs w:val="24"/>
        </w:rPr>
        <w:t>5</w:t>
      </w:r>
      <w:r>
        <w:rPr>
          <w:rFonts w:ascii="宋体" w:hAnsi="宋体" w:cs="宋体"/>
          <w:b/>
          <w:bCs/>
          <w:sz w:val="24"/>
          <w:szCs w:val="24"/>
        </w:rPr>
        <w:t>年</w:t>
      </w:r>
      <w:r>
        <w:rPr>
          <w:rFonts w:hint="eastAsia" w:ascii="宋体" w:hAnsi="宋体" w:cs="宋体"/>
          <w:b/>
          <w:bCs/>
          <w:sz w:val="24"/>
          <w:szCs w:val="24"/>
          <w:lang w:val="en-US" w:eastAsia="zh-CN"/>
        </w:rPr>
        <w:t>7</w:t>
      </w:r>
      <w:r>
        <w:rPr>
          <w:rFonts w:ascii="宋体" w:hAnsi="宋体" w:cs="宋体"/>
          <w:b/>
          <w:bCs/>
          <w:sz w:val="24"/>
          <w:szCs w:val="24"/>
        </w:rPr>
        <w:t>月</w:t>
      </w:r>
      <w:r>
        <w:rPr>
          <w:rFonts w:ascii="宋体" w:hAnsi="宋体" w:cs="宋体"/>
          <w:bCs/>
          <w:sz w:val="24"/>
          <w:szCs w:val="24"/>
        </w:rPr>
        <w:t>：</w:t>
      </w:r>
      <w:r>
        <w:rPr>
          <w:rFonts w:hint="eastAsia" w:hAnsi="宋体"/>
          <w:bCs/>
          <w:sz w:val="24"/>
        </w:rPr>
        <w:t>在</w:t>
      </w:r>
      <w:r>
        <w:rPr>
          <w:rFonts w:hint="eastAsia" w:hAnsi="宋体"/>
          <w:bCs/>
          <w:sz w:val="24"/>
          <w:lang w:val="en-US" w:eastAsia="zh-CN"/>
        </w:rPr>
        <w:t>内蒙古呼和浩特</w:t>
      </w:r>
      <w:r>
        <w:rPr>
          <w:rFonts w:hint="eastAsia" w:hAnsi="宋体"/>
          <w:bCs/>
          <w:sz w:val="24"/>
        </w:rPr>
        <w:t>召开</w:t>
      </w:r>
      <w:r>
        <w:rPr>
          <w:rFonts w:hint="eastAsia" w:ascii="宋体" w:hAnsi="宋体" w:cs="宋体"/>
          <w:bCs/>
          <w:sz w:val="24"/>
          <w:szCs w:val="24"/>
        </w:rPr>
        <w:t>起草标准</w:t>
      </w:r>
      <w:r>
        <w:rPr>
          <w:rFonts w:hint="eastAsia" w:ascii="宋体" w:hAnsi="宋体" w:cs="宋体"/>
          <w:b/>
          <w:sz w:val="24"/>
          <w:szCs w:val="24"/>
        </w:rPr>
        <w:t>第一次工作组会议</w:t>
      </w:r>
      <w:r>
        <w:rPr>
          <w:rFonts w:hint="eastAsia" w:ascii="宋体" w:hAnsi="宋体" w:cs="宋体"/>
          <w:bCs/>
          <w:sz w:val="24"/>
          <w:szCs w:val="24"/>
        </w:rPr>
        <w:t>，工作组对工作组讨论稿的标准化对象、标准结构进行了认真、细致的逐条讨论，并对主要技术内容达成了一致意见，同时分配标准符合性验证工作，形成会议纪要。</w:t>
      </w:r>
    </w:p>
    <w:p w14:paraId="4B59D0D0">
      <w:pPr>
        <w:pStyle w:val="44"/>
        <w:spacing w:line="360" w:lineRule="auto"/>
        <w:ind w:firstLine="482"/>
        <w:rPr>
          <w:rFonts w:hint="eastAsia" w:ascii="宋体" w:hAnsi="宋体" w:cs="宋体"/>
          <w:sz w:val="24"/>
          <w:szCs w:val="24"/>
        </w:rPr>
      </w:pPr>
      <w:r>
        <w:rPr>
          <w:rFonts w:hint="eastAsia" w:ascii="宋体" w:hAnsi="宋体" w:cs="宋体"/>
          <w:b/>
          <w:bCs/>
          <w:sz w:val="24"/>
          <w:szCs w:val="24"/>
        </w:rPr>
        <w:t>202</w:t>
      </w:r>
      <w:r>
        <w:rPr>
          <w:rFonts w:hint="eastAsia" w:ascii="宋体" w:hAnsi="宋体" w:cs="宋体"/>
          <w:b/>
          <w:bCs/>
          <w:sz w:val="24"/>
          <w:szCs w:val="24"/>
          <w:lang w:val="en-US" w:eastAsia="zh-CN"/>
        </w:rPr>
        <w:t>5</w:t>
      </w:r>
      <w:r>
        <w:rPr>
          <w:rFonts w:hint="eastAsia" w:ascii="宋体" w:hAnsi="宋体" w:cs="宋体"/>
          <w:b/>
          <w:bCs/>
          <w:sz w:val="24"/>
          <w:szCs w:val="24"/>
        </w:rPr>
        <w:t>年</w:t>
      </w:r>
      <w:r>
        <w:rPr>
          <w:rFonts w:hint="eastAsia" w:ascii="宋体" w:hAnsi="宋体" w:cs="宋体"/>
          <w:b/>
          <w:bCs/>
          <w:sz w:val="24"/>
          <w:szCs w:val="24"/>
          <w:lang w:val="en-US" w:eastAsia="zh-CN"/>
        </w:rPr>
        <w:t>8</w:t>
      </w:r>
      <w:r>
        <w:rPr>
          <w:rFonts w:hint="eastAsia" w:ascii="宋体" w:hAnsi="宋体" w:cs="宋体"/>
          <w:b/>
          <w:bCs/>
          <w:sz w:val="24"/>
          <w:szCs w:val="24"/>
        </w:rPr>
        <w:t>-</w:t>
      </w:r>
      <w:r>
        <w:rPr>
          <w:rFonts w:hint="eastAsia" w:ascii="宋体" w:hAnsi="宋体" w:cs="宋体"/>
          <w:b/>
          <w:bCs/>
          <w:sz w:val="24"/>
          <w:szCs w:val="24"/>
          <w:lang w:val="en-US" w:eastAsia="zh-CN"/>
        </w:rPr>
        <w:t>10</w:t>
      </w:r>
      <w:r>
        <w:rPr>
          <w:rFonts w:hint="eastAsia" w:ascii="宋体" w:hAnsi="宋体" w:cs="宋体"/>
          <w:b/>
          <w:bCs/>
          <w:sz w:val="24"/>
          <w:szCs w:val="24"/>
        </w:rPr>
        <w:t>月：</w:t>
      </w:r>
      <w:r>
        <w:rPr>
          <w:rFonts w:hint="eastAsia" w:ascii="宋体" w:hAnsi="宋体" w:cs="宋体"/>
          <w:sz w:val="24"/>
          <w:szCs w:val="24"/>
        </w:rPr>
        <w:t>形成工作组讨论稿，开展第二次征求意见，共回收意见</w:t>
      </w:r>
      <w:r>
        <w:rPr>
          <w:rFonts w:hint="eastAsia" w:ascii="宋体" w:hAnsi="宋体" w:cs="宋体"/>
          <w:sz w:val="24"/>
          <w:szCs w:val="24"/>
          <w:lang w:val="en-US" w:eastAsia="zh-CN"/>
        </w:rPr>
        <w:t>14</w:t>
      </w:r>
      <w:r>
        <w:rPr>
          <w:rFonts w:hint="eastAsia" w:ascii="宋体" w:hAnsi="宋体" w:cs="宋体"/>
          <w:sz w:val="24"/>
          <w:szCs w:val="24"/>
        </w:rPr>
        <w:t>条，主笔单位按照回收意见对工作组讨论稿进行了修改完善。</w:t>
      </w:r>
    </w:p>
    <w:p w14:paraId="0D1A9E91">
      <w:pPr>
        <w:spacing w:line="360" w:lineRule="auto"/>
        <w:ind w:firstLine="472" w:firstLineChars="196"/>
        <w:rPr>
          <w:rFonts w:hint="eastAsia" w:ascii="宋体" w:hAnsi="宋体" w:cs="宋体"/>
          <w:sz w:val="24"/>
          <w:szCs w:val="24"/>
        </w:rPr>
      </w:pPr>
      <w:r>
        <w:rPr>
          <w:rFonts w:hint="eastAsia" w:ascii="宋体" w:hAnsi="宋体" w:cs="宋体"/>
          <w:b/>
          <w:bCs/>
          <w:sz w:val="24"/>
          <w:szCs w:val="24"/>
        </w:rPr>
        <w:t>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1</w:t>
      </w:r>
      <w:r>
        <w:rPr>
          <w:rFonts w:hint="eastAsia" w:ascii="宋体" w:hAnsi="宋体" w:cs="宋体"/>
          <w:b/>
          <w:bCs/>
          <w:sz w:val="24"/>
          <w:szCs w:val="24"/>
        </w:rPr>
        <w:t>月：</w:t>
      </w:r>
      <w:r>
        <w:rPr>
          <w:rFonts w:hint="eastAsia" w:ascii="宋体" w:hAnsi="宋体" w:cs="宋体"/>
          <w:sz w:val="24"/>
          <w:szCs w:val="24"/>
        </w:rPr>
        <w:t>起草工作组召开</w:t>
      </w:r>
      <w:r>
        <w:rPr>
          <w:rFonts w:hint="eastAsia" w:ascii="宋体" w:hAnsi="宋体" w:cs="宋体"/>
          <w:sz w:val="24"/>
          <w:szCs w:val="24"/>
          <w:lang w:val="en-US" w:eastAsia="zh-CN"/>
        </w:rPr>
        <w:t>线上制定</w:t>
      </w:r>
      <w:r>
        <w:rPr>
          <w:rFonts w:hint="eastAsia" w:ascii="宋体" w:hAnsi="宋体" w:cs="宋体"/>
          <w:b/>
          <w:bCs/>
          <w:sz w:val="24"/>
          <w:szCs w:val="24"/>
        </w:rPr>
        <w:t>第二次工作组会议</w:t>
      </w:r>
      <w:r>
        <w:rPr>
          <w:rFonts w:hint="eastAsia" w:ascii="宋体" w:hAnsi="宋体" w:cs="宋体"/>
          <w:sz w:val="24"/>
          <w:szCs w:val="24"/>
        </w:rPr>
        <w:t>，对标准工作组讨论稿以及所征求的意见内容进行了仔细讨论，形成会议纪要。</w:t>
      </w:r>
    </w:p>
    <w:p w14:paraId="217223AF">
      <w:pPr>
        <w:spacing w:line="360" w:lineRule="auto"/>
        <w:ind w:firstLine="472" w:firstLineChars="196"/>
        <w:rPr>
          <w:rFonts w:hint="eastAsia" w:ascii="宋体" w:hAnsi="宋体" w:cs="宋体"/>
          <w:bCs/>
          <w:sz w:val="24"/>
          <w:szCs w:val="24"/>
        </w:rPr>
      </w:pPr>
      <w:r>
        <w:rPr>
          <w:rFonts w:ascii="宋体" w:hAnsi="宋体" w:cs="宋体"/>
          <w:b/>
          <w:bCs/>
          <w:sz w:val="24"/>
          <w:szCs w:val="24"/>
        </w:rPr>
        <w:t>202</w:t>
      </w:r>
      <w:r>
        <w:rPr>
          <w:rFonts w:hint="eastAsia" w:ascii="宋体" w:hAnsi="宋体" w:cs="宋体"/>
          <w:b/>
          <w:bCs/>
          <w:sz w:val="24"/>
          <w:szCs w:val="24"/>
          <w:lang w:val="en-US" w:eastAsia="zh-CN"/>
        </w:rPr>
        <w:t>6</w:t>
      </w:r>
      <w:r>
        <w:rPr>
          <w:rFonts w:ascii="宋体" w:hAnsi="宋体" w:cs="宋体"/>
          <w:b/>
          <w:bCs/>
          <w:sz w:val="24"/>
          <w:szCs w:val="24"/>
        </w:rPr>
        <w:t>年</w:t>
      </w:r>
      <w:r>
        <w:rPr>
          <w:rFonts w:hint="eastAsia" w:ascii="宋体" w:hAnsi="宋体" w:cs="宋体"/>
          <w:b/>
          <w:bCs/>
          <w:sz w:val="24"/>
          <w:szCs w:val="24"/>
          <w:lang w:val="en-US" w:eastAsia="zh-CN"/>
        </w:rPr>
        <w:t>3-5</w:t>
      </w:r>
      <w:r>
        <w:rPr>
          <w:rFonts w:ascii="宋体" w:hAnsi="宋体" w:cs="宋体"/>
          <w:b/>
          <w:bCs/>
          <w:sz w:val="24"/>
          <w:szCs w:val="24"/>
        </w:rPr>
        <w:t>月</w:t>
      </w:r>
      <w:r>
        <w:rPr>
          <w:rFonts w:ascii="宋体" w:hAnsi="宋体" w:cs="宋体"/>
          <w:bCs/>
          <w:sz w:val="24"/>
          <w:szCs w:val="24"/>
        </w:rPr>
        <w:t>：</w:t>
      </w:r>
      <w:r>
        <w:rPr>
          <w:rFonts w:hint="eastAsia" w:ascii="宋体" w:hAnsi="宋体" w:cs="宋体"/>
          <w:bCs/>
          <w:sz w:val="24"/>
          <w:szCs w:val="24"/>
        </w:rPr>
        <w:t>对标准工作组讨论稿以及所征求的意见内容进行了仔细讨论，</w:t>
      </w:r>
      <w:r>
        <w:rPr>
          <w:rFonts w:hint="eastAsia" w:ascii="宋体" w:hAnsi="宋体" w:cs="宋体"/>
          <w:bCs/>
          <w:sz w:val="24"/>
          <w:szCs w:val="24"/>
          <w:lang w:val="en-US" w:eastAsia="zh-CN"/>
        </w:rPr>
        <w:t>进行修改</w:t>
      </w:r>
      <w:r>
        <w:rPr>
          <w:rFonts w:hint="eastAsia" w:ascii="宋体" w:hAnsi="宋体" w:cs="宋体"/>
          <w:bCs/>
          <w:sz w:val="24"/>
          <w:szCs w:val="24"/>
        </w:rPr>
        <w:t>。</w:t>
      </w:r>
    </w:p>
    <w:p w14:paraId="3409EC57">
      <w:pPr>
        <w:spacing w:line="360" w:lineRule="auto"/>
        <w:ind w:firstLine="472" w:firstLineChars="196"/>
        <w:rPr>
          <w:rFonts w:hint="eastAsia" w:ascii="宋体" w:hAnsi="宋体" w:cs="宋体"/>
          <w:bCs/>
          <w:sz w:val="24"/>
          <w:szCs w:val="24"/>
        </w:rPr>
      </w:pPr>
      <w:r>
        <w:rPr>
          <w:rFonts w:ascii="宋体" w:hAnsi="宋体" w:cs="宋体"/>
          <w:b/>
          <w:bCs/>
          <w:sz w:val="24"/>
          <w:szCs w:val="24"/>
        </w:rPr>
        <w:t>202</w:t>
      </w:r>
      <w:r>
        <w:rPr>
          <w:rFonts w:hint="eastAsia" w:ascii="宋体" w:hAnsi="宋体" w:cs="宋体"/>
          <w:b/>
          <w:bCs/>
          <w:sz w:val="24"/>
          <w:szCs w:val="24"/>
          <w:lang w:val="en-US" w:eastAsia="zh-CN"/>
        </w:rPr>
        <w:t>6</w:t>
      </w:r>
      <w:r>
        <w:rPr>
          <w:rFonts w:ascii="宋体" w:hAnsi="宋体" w:cs="宋体"/>
          <w:b/>
          <w:bCs/>
          <w:sz w:val="24"/>
          <w:szCs w:val="24"/>
        </w:rPr>
        <w:t>年</w:t>
      </w:r>
      <w:r>
        <w:rPr>
          <w:rFonts w:hint="eastAsia" w:ascii="宋体" w:hAnsi="宋体" w:cs="宋体"/>
          <w:b/>
          <w:bCs/>
          <w:sz w:val="24"/>
          <w:szCs w:val="24"/>
          <w:lang w:val="en-US" w:eastAsia="zh-CN"/>
        </w:rPr>
        <w:t>7</w:t>
      </w:r>
      <w:r>
        <w:rPr>
          <w:rFonts w:ascii="宋体" w:hAnsi="宋体" w:cs="宋体"/>
          <w:b/>
          <w:bCs/>
          <w:sz w:val="24"/>
          <w:szCs w:val="24"/>
        </w:rPr>
        <w:t>月</w:t>
      </w:r>
      <w:r>
        <w:rPr>
          <w:rFonts w:hint="eastAsia" w:ascii="宋体" w:hAnsi="宋体" w:cs="宋体"/>
          <w:bCs/>
          <w:sz w:val="24"/>
          <w:szCs w:val="24"/>
        </w:rPr>
        <w:t>：形成</w:t>
      </w:r>
      <w:r>
        <w:rPr>
          <w:rFonts w:hint="eastAsia" w:ascii="黑体" w:hAnsi="黑体" w:eastAsia="黑体" w:cs="黑体"/>
          <w:bCs/>
          <w:sz w:val="24"/>
          <w:szCs w:val="24"/>
        </w:rPr>
        <w:t>征求意见稿</w:t>
      </w:r>
      <w:r>
        <w:rPr>
          <w:rFonts w:hint="eastAsia" w:ascii="宋体" w:hAnsi="宋体" w:cs="宋体"/>
          <w:bCs/>
          <w:sz w:val="24"/>
          <w:szCs w:val="24"/>
        </w:rPr>
        <w:t>、征求意见稿编制说明、征求意见汇总处理表。</w:t>
      </w:r>
    </w:p>
    <w:p w14:paraId="0F164934">
      <w:pPr>
        <w:spacing w:line="400" w:lineRule="exact"/>
        <w:ind w:firstLine="470" w:firstLineChars="196"/>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3E59650E">
      <w:pPr>
        <w:pStyle w:val="5"/>
        <w:rPr>
          <w:rFonts w:hint="eastAsia" w:ascii="宋体" w:hAnsi="宋体" w:cs="宋体"/>
          <w:sz w:val="28"/>
          <w:szCs w:val="28"/>
          <w:lang w:val="zh-CN"/>
        </w:rPr>
      </w:pPr>
      <w:r>
        <w:rPr>
          <w:rFonts w:hint="eastAsia" w:ascii="宋体" w:hAnsi="宋体" w:cs="宋体"/>
          <w:sz w:val="28"/>
          <w:szCs w:val="28"/>
          <w:lang w:val="en-US" w:eastAsia="zh-CN"/>
        </w:rPr>
        <w:t>3</w:t>
      </w:r>
      <w:r>
        <w:rPr>
          <w:rFonts w:ascii="宋体" w:hAnsi="宋体" w:cs="宋体"/>
          <w:sz w:val="28"/>
          <w:szCs w:val="28"/>
        </w:rPr>
        <w:t>．</w:t>
      </w:r>
      <w:r>
        <w:rPr>
          <w:rFonts w:hint="eastAsia" w:ascii="宋体" w:hAnsi="宋体" w:cs="宋体"/>
          <w:sz w:val="28"/>
          <w:szCs w:val="28"/>
          <w:lang w:val="zh-CN"/>
        </w:rPr>
        <w:t>主要参加单位和工作组成员及其所做的工作</w:t>
      </w:r>
    </w:p>
    <w:p w14:paraId="359C5DE4">
      <w:pPr>
        <w:spacing w:line="360" w:lineRule="auto"/>
        <w:ind w:firstLine="480" w:firstLineChars="200"/>
        <w:rPr>
          <w:rFonts w:ascii="Times New Roman" w:hAnsi="Times New Roman"/>
          <w:sz w:val="24"/>
          <w:szCs w:val="24"/>
          <w:highlight w:val="yellow"/>
        </w:rPr>
      </w:pPr>
      <w:r>
        <w:rPr>
          <w:rFonts w:hint="eastAsia" w:ascii="Times New Roman" w:hAnsi="Times New Roman"/>
          <w:sz w:val="24"/>
          <w:szCs w:val="24"/>
        </w:rPr>
        <w:t>牵头起草单位是</w:t>
      </w:r>
      <w:r>
        <w:rPr>
          <w:rFonts w:hint="eastAsia" w:ascii="Times New Roman" w:hAnsi="Times New Roman"/>
          <w:sz w:val="24"/>
          <w:szCs w:val="24"/>
          <w:lang w:val="en-US" w:eastAsia="zh-CN"/>
        </w:rPr>
        <w:t>北京电联宇科技股份有限公司，</w:t>
      </w:r>
      <w:r>
        <w:rPr>
          <w:rFonts w:hint="eastAsia" w:ascii="Times New Roman" w:hAnsi="Times New Roman"/>
          <w:sz w:val="24"/>
          <w:szCs w:val="24"/>
        </w:rPr>
        <w:t>主要起草单位有</w:t>
      </w:r>
      <w:r>
        <w:rPr>
          <w:rFonts w:hint="eastAsia" w:asciiTheme="majorEastAsia" w:hAnsiTheme="majorEastAsia" w:eastAsiaTheme="majorEastAsia" w:cstheme="majorEastAsia"/>
          <w:sz w:val="24"/>
        </w:rPr>
        <w:t>国</w:t>
      </w:r>
      <w:r>
        <w:rPr>
          <w:rFonts w:hint="eastAsia" w:ascii="Times New Roman" w:hAnsi="Times New Roman"/>
          <w:sz w:val="24"/>
          <w:szCs w:val="24"/>
        </w:rPr>
        <w:t>网内蒙古东部电力有限公司</w:t>
      </w:r>
      <w:r>
        <w:rPr>
          <w:rFonts w:hint="eastAsia" w:ascii="Times New Roman" w:hAnsi="Times New Roman"/>
          <w:sz w:val="24"/>
          <w:szCs w:val="24"/>
          <w:lang w:eastAsia="zh-CN"/>
        </w:rPr>
        <w:t>、</w:t>
      </w:r>
      <w:r>
        <w:rPr>
          <w:rFonts w:hint="eastAsia" w:ascii="Times New Roman" w:hAnsi="Times New Roman"/>
          <w:sz w:val="24"/>
          <w:szCs w:val="24"/>
        </w:rPr>
        <w:t>哈尔滨电工仪表研究所有限公司、内蒙古电力科学研究院</w:t>
      </w:r>
      <w:r>
        <w:rPr>
          <w:rFonts w:hint="eastAsia" w:ascii="Times New Roman" w:hAnsi="Times New Roman"/>
          <w:sz w:val="24"/>
          <w:szCs w:val="24"/>
          <w:lang w:eastAsia="zh-CN"/>
        </w:rPr>
        <w:t>、</w:t>
      </w:r>
      <w:r>
        <w:rPr>
          <w:rFonts w:hint="eastAsia" w:ascii="Times New Roman" w:hAnsi="Times New Roman"/>
          <w:sz w:val="24"/>
          <w:szCs w:val="24"/>
          <w:lang w:val="en-US" w:eastAsia="zh-CN"/>
        </w:rPr>
        <w:t>河南许继仪表有限公司</w:t>
      </w:r>
      <w:r>
        <w:rPr>
          <w:rFonts w:hint="eastAsia" w:ascii="Times New Roman" w:hAnsi="Times New Roman"/>
          <w:sz w:val="24"/>
          <w:szCs w:val="24"/>
        </w:rPr>
        <w:t>等。</w:t>
      </w:r>
    </w:p>
    <w:p w14:paraId="13A4AE13">
      <w:p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rPr>
        <w:t>本文件主要起草人：</w:t>
      </w:r>
      <w:r>
        <w:rPr>
          <w:rFonts w:hint="eastAsia" w:ascii="Times New Roman" w:hAnsi="Times New Roman"/>
          <w:sz w:val="24"/>
          <w:szCs w:val="24"/>
          <w:highlight w:val="none"/>
          <w:lang w:val="en-US" w:eastAsia="zh-CN"/>
        </w:rPr>
        <w:t>郑世英、张玉峰、</w:t>
      </w:r>
      <w:r>
        <w:rPr>
          <w:rFonts w:hint="eastAsia"/>
          <w:sz w:val="24"/>
          <w:szCs w:val="24"/>
          <w:lang w:val="en-US" w:eastAsia="zh-CN"/>
        </w:rPr>
        <w:t>黄成、</w:t>
      </w:r>
      <w:r>
        <w:rPr>
          <w:rFonts w:hint="eastAsia" w:ascii="Times New Roman" w:hAnsi="Times New Roman"/>
          <w:sz w:val="24"/>
          <w:szCs w:val="24"/>
          <w:highlight w:val="none"/>
          <w:lang w:val="en-US" w:eastAsia="zh-CN"/>
        </w:rPr>
        <w:t>闫永昶、郭继永、王庆龙、鞠鹏、王宁、李敏瑞、任书平、刘献成、何珊、刘志宏</w:t>
      </w:r>
      <w:r>
        <w:rPr>
          <w:rFonts w:hint="eastAsia" w:ascii="Times New Roman" w:hAnsi="Times New Roman" w:eastAsia="宋体" w:cs="Times New Roman"/>
          <w:sz w:val="24"/>
          <w:szCs w:val="24"/>
          <w:lang w:val="en-US" w:eastAsia="zh-CN"/>
        </w:rPr>
        <w:t>等。</w:t>
      </w:r>
    </w:p>
    <w:p w14:paraId="265D3CBF">
      <w:pPr>
        <w:spacing w:line="360" w:lineRule="auto"/>
        <w:ind w:firstLine="480" w:firstLineChars="200"/>
        <w:rPr>
          <w:rFonts w:hint="eastAsia"/>
          <w:sz w:val="24"/>
          <w:szCs w:val="24"/>
        </w:rPr>
      </w:pPr>
      <w:r>
        <w:rPr>
          <w:rFonts w:hint="eastAsia" w:ascii="Times New Roman" w:hAnsi="Times New Roman"/>
          <w:sz w:val="24"/>
          <w:szCs w:val="24"/>
          <w:highlight w:val="none"/>
          <w:lang w:val="en-US" w:eastAsia="zh-CN"/>
        </w:rPr>
        <w:t>张玉峰</w:t>
      </w:r>
      <w:r>
        <w:rPr>
          <w:rFonts w:hint="eastAsia"/>
          <w:sz w:val="24"/>
          <w:szCs w:val="24"/>
        </w:rPr>
        <w:t>为本标准的主笔人，负责标准的编写；</w:t>
      </w:r>
      <w:r>
        <w:rPr>
          <w:rFonts w:hint="eastAsia" w:ascii="Times New Roman" w:hAnsi="Times New Roman"/>
          <w:sz w:val="24"/>
          <w:szCs w:val="24"/>
          <w:highlight w:val="none"/>
          <w:lang w:val="en-US" w:eastAsia="zh-CN"/>
        </w:rPr>
        <w:t>郑世英</w:t>
      </w:r>
      <w:r>
        <w:rPr>
          <w:rFonts w:hint="eastAsia"/>
          <w:sz w:val="24"/>
          <w:szCs w:val="24"/>
          <w:highlight w:val="none"/>
        </w:rPr>
        <w:t>为</w:t>
      </w:r>
      <w:r>
        <w:rPr>
          <w:rFonts w:hint="eastAsia"/>
          <w:sz w:val="24"/>
          <w:szCs w:val="24"/>
        </w:rPr>
        <w:t>本标准的技术负责人，为标准的总体内容进行全面指导；</w:t>
      </w:r>
      <w:r>
        <w:rPr>
          <w:rFonts w:hint="eastAsia" w:ascii="Times New Roman" w:hAnsi="Times New Roman" w:eastAsia="宋体" w:cs="Times New Roman"/>
          <w:b w:val="0"/>
          <w:bCs w:val="0"/>
          <w:sz w:val="24"/>
          <w:szCs w:val="24"/>
          <w:lang w:val="en-US" w:eastAsia="zh-CN"/>
        </w:rPr>
        <w:t>刘献成</w:t>
      </w:r>
      <w:r>
        <w:rPr>
          <w:rFonts w:hint="eastAsia"/>
          <w:sz w:val="24"/>
          <w:szCs w:val="24"/>
        </w:rPr>
        <w:t>为本标准起草工作组的组长，</w:t>
      </w:r>
      <w:r>
        <w:rPr>
          <w:rFonts w:hint="eastAsia"/>
          <w:sz w:val="24"/>
          <w:szCs w:val="24"/>
          <w:lang w:val="en-US" w:eastAsia="zh-CN"/>
        </w:rPr>
        <w:t>黄成、</w:t>
      </w:r>
      <w:r>
        <w:rPr>
          <w:rFonts w:hint="eastAsia" w:ascii="Times New Roman" w:hAnsi="Times New Roman"/>
          <w:sz w:val="24"/>
          <w:szCs w:val="24"/>
          <w:highlight w:val="none"/>
          <w:lang w:val="en-US" w:eastAsia="zh-CN"/>
        </w:rPr>
        <w:t>闫永昶、郭继永等</w:t>
      </w:r>
      <w:r>
        <w:rPr>
          <w:rFonts w:hint="eastAsia"/>
          <w:sz w:val="24"/>
          <w:szCs w:val="24"/>
        </w:rPr>
        <w:t>为本标准起草工作组的组员，</w:t>
      </w:r>
      <w:r>
        <w:rPr>
          <w:sz w:val="24"/>
          <w:szCs w:val="24"/>
        </w:rPr>
        <w:t>负责</w:t>
      </w:r>
      <w:r>
        <w:rPr>
          <w:rFonts w:hint="eastAsia"/>
          <w:sz w:val="24"/>
          <w:szCs w:val="24"/>
        </w:rPr>
        <w:t>标准的编写进程和组织协调工作；</w:t>
      </w:r>
      <w:r>
        <w:rPr>
          <w:rFonts w:hint="eastAsia" w:ascii="Times New Roman" w:hAnsi="Times New Roman" w:cs="Times New Roman"/>
          <w:b w:val="0"/>
          <w:bCs w:val="0"/>
          <w:sz w:val="24"/>
          <w:szCs w:val="24"/>
          <w:lang w:val="en-US" w:eastAsia="zh-CN"/>
        </w:rPr>
        <w:t>刘志宏</w:t>
      </w:r>
      <w:r>
        <w:rPr>
          <w:rFonts w:hint="eastAsia"/>
          <w:sz w:val="24"/>
          <w:szCs w:val="24"/>
        </w:rPr>
        <w:t>等工作组成员为本标准的编写和修改工作给予大量帮助。</w:t>
      </w:r>
    </w:p>
    <w:p w14:paraId="51F20E08">
      <w:pPr>
        <w:pStyle w:val="5"/>
        <w:rPr>
          <w:rFonts w:hint="eastAsia" w:ascii="宋体" w:hAnsi="宋体" w:cs="宋体"/>
          <w:sz w:val="28"/>
          <w:szCs w:val="28"/>
          <w:highlight w:val="none"/>
        </w:rPr>
      </w:pPr>
      <w:r>
        <w:rPr>
          <w:rFonts w:hint="eastAsia" w:ascii="宋体" w:hAnsi="宋体" w:cs="宋体"/>
          <w:sz w:val="28"/>
          <w:szCs w:val="28"/>
          <w:highlight w:val="none"/>
        </w:rPr>
        <w:t>二、</w:t>
      </w:r>
      <w:r>
        <w:rPr>
          <w:rFonts w:ascii="宋体" w:hAnsi="宋体" w:cs="宋体"/>
          <w:sz w:val="28"/>
          <w:szCs w:val="28"/>
          <w:highlight w:val="none"/>
        </w:rPr>
        <w:t xml:space="preserve"> </w:t>
      </w:r>
      <w:r>
        <w:rPr>
          <w:rFonts w:hint="eastAsia" w:ascii="宋体" w:hAnsi="宋体" w:cs="宋体"/>
          <w:sz w:val="28"/>
          <w:szCs w:val="28"/>
          <w:highlight w:val="none"/>
        </w:rPr>
        <w:t>标准编制原则和主要技术内容确定的依据</w:t>
      </w:r>
    </w:p>
    <w:p w14:paraId="7BBEB871">
      <w:pPr>
        <w:spacing w:line="360" w:lineRule="auto"/>
        <w:ind w:firstLine="600" w:firstLineChars="250"/>
        <w:rPr>
          <w:rFonts w:hint="eastAsia" w:ascii="Times New Roman"/>
          <w:kern w:val="2"/>
          <w:sz w:val="24"/>
          <w:szCs w:val="22"/>
        </w:rPr>
      </w:pPr>
      <w:bookmarkStart w:id="0" w:name="_GoBack"/>
      <w:bookmarkEnd w:id="0"/>
      <w:r>
        <w:rPr>
          <w:rFonts w:hint="eastAsia" w:ascii="Times New Roman"/>
          <w:kern w:val="2"/>
          <w:sz w:val="24"/>
          <w:szCs w:val="22"/>
        </w:rPr>
        <w:t>本标准从实际应用出发，充分考虑了现有相关国家标准和行业标准。编制遵循“统一性、协调性、适用性、一致性、规范性”的原则，注重标准的可操作性，本标准严格按照GB/T 1.1-2020《标准化工作导则 第1部分 标准化文件的结构和起草规则》的规定进行编写和表述。</w:t>
      </w:r>
    </w:p>
    <w:p w14:paraId="6684E7D6">
      <w:pPr>
        <w:pStyle w:val="22"/>
        <w:spacing w:line="360" w:lineRule="auto"/>
        <w:ind w:firstLine="480"/>
        <w:rPr>
          <w:rFonts w:ascii="Times New Roman"/>
          <w:kern w:val="2"/>
          <w:sz w:val="24"/>
          <w:szCs w:val="22"/>
          <w:highlight w:val="yellow"/>
        </w:rPr>
      </w:pPr>
      <w:r>
        <w:rPr>
          <w:rFonts w:hint="eastAsia" w:ascii="Times New Roman"/>
          <w:kern w:val="2"/>
          <w:sz w:val="24"/>
          <w:szCs w:val="22"/>
        </w:rPr>
        <w:t>另外，为体现指南的先进性和实用性，本文件借鉴了GB/T 2423</w:t>
      </w:r>
      <w:r>
        <w:rPr>
          <w:rFonts w:hint="eastAsia" w:ascii="Times New Roman"/>
          <w:kern w:val="2"/>
          <w:sz w:val="24"/>
          <w:szCs w:val="22"/>
          <w:lang w:val="en-US" w:eastAsia="zh-CN"/>
        </w:rPr>
        <w:t>.1、</w:t>
      </w:r>
      <w:r>
        <w:rPr>
          <w:rFonts w:hint="eastAsia" w:ascii="Times New Roman"/>
          <w:kern w:val="2"/>
          <w:sz w:val="24"/>
          <w:szCs w:val="22"/>
        </w:rPr>
        <w:t>GB/T 2423</w:t>
      </w:r>
      <w:r>
        <w:rPr>
          <w:rFonts w:hint="eastAsia" w:ascii="Times New Roman"/>
          <w:kern w:val="2"/>
          <w:sz w:val="24"/>
          <w:szCs w:val="22"/>
          <w:lang w:val="en-US" w:eastAsia="zh-CN"/>
        </w:rPr>
        <w:t>.1、</w:t>
      </w:r>
      <w:r>
        <w:rPr>
          <w:rFonts w:hint="eastAsia" w:ascii="Times New Roman"/>
          <w:kern w:val="2"/>
          <w:sz w:val="24"/>
          <w:szCs w:val="22"/>
        </w:rPr>
        <w:t>GB/T 2423</w:t>
      </w:r>
      <w:r>
        <w:rPr>
          <w:rFonts w:hint="eastAsia" w:ascii="Times New Roman"/>
          <w:kern w:val="2"/>
          <w:sz w:val="24"/>
          <w:szCs w:val="22"/>
          <w:lang w:val="en-US" w:eastAsia="zh-CN"/>
        </w:rPr>
        <w:t>.2、</w:t>
      </w:r>
      <w:r>
        <w:rPr>
          <w:rFonts w:hint="eastAsia" w:ascii="Times New Roman"/>
          <w:kern w:val="2"/>
          <w:sz w:val="24"/>
          <w:szCs w:val="22"/>
        </w:rPr>
        <w:t>GB/T 2423</w:t>
      </w:r>
      <w:r>
        <w:rPr>
          <w:rFonts w:hint="eastAsia" w:ascii="Times New Roman"/>
          <w:kern w:val="2"/>
          <w:sz w:val="24"/>
          <w:szCs w:val="22"/>
          <w:lang w:val="en-US" w:eastAsia="zh-CN"/>
        </w:rPr>
        <w:t>.3、</w:t>
      </w:r>
      <w:r>
        <w:rPr>
          <w:rFonts w:hint="eastAsia" w:ascii="Times New Roman"/>
          <w:kern w:val="2"/>
          <w:sz w:val="24"/>
          <w:szCs w:val="22"/>
        </w:rPr>
        <w:t>GB/T 2423</w:t>
      </w:r>
      <w:r>
        <w:rPr>
          <w:rFonts w:hint="eastAsia" w:ascii="Times New Roman"/>
          <w:kern w:val="2"/>
          <w:sz w:val="24"/>
          <w:szCs w:val="22"/>
          <w:lang w:val="en-US" w:eastAsia="zh-CN"/>
        </w:rPr>
        <w:t>.4、</w:t>
      </w:r>
      <w:r>
        <w:rPr>
          <w:rFonts w:hint="eastAsia" w:ascii="Times New Roman"/>
          <w:kern w:val="2"/>
          <w:sz w:val="24"/>
          <w:szCs w:val="22"/>
        </w:rPr>
        <w:t>GB/T 2423</w:t>
      </w:r>
      <w:r>
        <w:rPr>
          <w:rFonts w:hint="eastAsia" w:ascii="Times New Roman"/>
          <w:kern w:val="2"/>
          <w:sz w:val="24"/>
          <w:szCs w:val="22"/>
          <w:lang w:val="en-US" w:eastAsia="zh-CN"/>
        </w:rPr>
        <w:t>.10、</w:t>
      </w:r>
      <w:r>
        <w:rPr>
          <w:rFonts w:hint="eastAsia" w:ascii="Times New Roman"/>
          <w:kern w:val="2"/>
          <w:sz w:val="24"/>
          <w:szCs w:val="22"/>
        </w:rPr>
        <w:t>GB/T 5169.11</w:t>
      </w:r>
      <w:r>
        <w:rPr>
          <w:rFonts w:hint="eastAsia" w:ascii="Times New Roman"/>
          <w:kern w:val="2"/>
          <w:sz w:val="24"/>
          <w:szCs w:val="22"/>
          <w:lang w:eastAsia="zh-CN"/>
        </w:rPr>
        <w:t>、</w:t>
      </w:r>
      <w:r>
        <w:rPr>
          <w:rFonts w:hint="eastAsia" w:ascii="Times New Roman"/>
          <w:kern w:val="2"/>
          <w:sz w:val="24"/>
          <w:szCs w:val="22"/>
        </w:rPr>
        <w:t>GB/T 1721</w:t>
      </w:r>
      <w:r>
        <w:rPr>
          <w:rFonts w:hint="eastAsia" w:ascii="Times New Roman" w:hAnsi="Calibri" w:eastAsia="宋体" w:cs="Times New Roman"/>
          <w:kern w:val="2"/>
          <w:sz w:val="24"/>
          <w:szCs w:val="22"/>
          <w:lang w:val="en-US" w:eastAsia="zh-CN" w:bidi="ar-SA"/>
        </w:rPr>
        <w:t>5.211、GB/T 17626.2、GB/T 17626.3、GB/T 17626.4、GB/T 17626.5、GB/T 17626.6、GB/T 17626.8、GB/T 17626.22等系列国家标准以及DL/T 645、DL/T 698.36、DL/T 698.45、DL/T 1489等系列行业技术标准，分析了</w:t>
      </w:r>
      <w:r>
        <w:rPr>
          <w:rFonts w:hint="eastAsia" w:ascii="Times New Roman" w:hAnsi="Calibri" w:cs="Times New Roman"/>
          <w:kern w:val="2"/>
          <w:sz w:val="24"/>
          <w:szCs w:val="22"/>
          <w:lang w:val="en-US" w:eastAsia="zh-CN" w:bidi="ar-SA"/>
        </w:rPr>
        <w:t>电能信息采集终端光纤通信单元</w:t>
      </w:r>
      <w:r>
        <w:rPr>
          <w:rFonts w:hint="eastAsia" w:ascii="Times New Roman" w:hAnsi="Calibri" w:eastAsia="宋体" w:cs="Times New Roman"/>
          <w:kern w:val="2"/>
          <w:sz w:val="24"/>
          <w:szCs w:val="22"/>
          <w:lang w:val="en-US" w:eastAsia="zh-CN" w:bidi="ar-SA"/>
        </w:rPr>
        <w:t>的技术标准要求和功能要求，研究了</w:t>
      </w:r>
      <w:r>
        <w:rPr>
          <w:rFonts w:hint="eastAsia" w:ascii="Times New Roman" w:hAnsi="Calibri" w:cs="Times New Roman"/>
          <w:kern w:val="2"/>
          <w:sz w:val="24"/>
          <w:szCs w:val="22"/>
          <w:lang w:val="en-US" w:eastAsia="zh-CN" w:bidi="ar-SA"/>
        </w:rPr>
        <w:t>电能信息采集终端光纤通信单元</w:t>
      </w:r>
      <w:r>
        <w:rPr>
          <w:rFonts w:hint="eastAsia" w:ascii="Times New Roman" w:hAnsi="Calibri" w:eastAsia="宋体" w:cs="Times New Roman"/>
          <w:kern w:val="2"/>
          <w:sz w:val="24"/>
          <w:szCs w:val="22"/>
          <w:lang w:val="en-US" w:eastAsia="zh-CN" w:bidi="ar-SA"/>
        </w:rPr>
        <w:t>试验方法、检验规则、包装、运输及贮存等内容。</w:t>
      </w:r>
    </w:p>
    <w:p w14:paraId="7C57E96E">
      <w:pPr>
        <w:pStyle w:val="5"/>
        <w:rPr>
          <w:rFonts w:hint="eastAsia" w:ascii="宋体" w:hAnsi="宋体" w:cs="宋体"/>
          <w:sz w:val="28"/>
          <w:szCs w:val="28"/>
          <w:highlight w:val="none"/>
        </w:rPr>
      </w:pPr>
      <w:r>
        <w:rPr>
          <w:rFonts w:hint="eastAsia" w:ascii="宋体" w:hAnsi="宋体" w:cs="宋体"/>
          <w:sz w:val="28"/>
          <w:szCs w:val="28"/>
          <w:highlight w:val="none"/>
        </w:rPr>
        <w:t>三、 主要试验（或验证）情况</w:t>
      </w:r>
    </w:p>
    <w:p w14:paraId="18DA0BE0">
      <w:pPr>
        <w:spacing w:line="360" w:lineRule="auto"/>
        <w:ind w:firstLine="480" w:firstLineChars="200"/>
        <w:rPr>
          <w:rFonts w:hint="default" w:ascii="Times New Roman"/>
          <w:sz w:val="24"/>
          <w:szCs w:val="24"/>
          <w:highlight w:val="yellow"/>
          <w:lang w:val="en-US" w:eastAsia="zh-CN"/>
        </w:rPr>
      </w:pPr>
      <w:r>
        <w:rPr>
          <w:rFonts w:hint="eastAsia" w:ascii="Times New Roman"/>
          <w:sz w:val="24"/>
          <w:szCs w:val="24"/>
          <w:highlight w:val="none"/>
        </w:rPr>
        <w:t>本</w:t>
      </w:r>
      <w:r>
        <w:rPr>
          <w:rFonts w:hint="eastAsia" w:ascii="Times New Roman"/>
          <w:sz w:val="24"/>
          <w:szCs w:val="24"/>
          <w:highlight w:val="none"/>
          <w:lang w:val="en-US" w:eastAsia="zh-CN"/>
        </w:rPr>
        <w:t>标准</w:t>
      </w:r>
      <w:r>
        <w:rPr>
          <w:rFonts w:hint="eastAsia" w:ascii="Times New Roman"/>
          <w:sz w:val="24"/>
          <w:szCs w:val="24"/>
          <w:highlight w:val="none"/>
        </w:rPr>
        <w:t>在指定指标的试验及验证过程中使用的设备包括：</w:t>
      </w:r>
      <w:r>
        <w:rPr>
          <w:rFonts w:hint="eastAsia" w:ascii="Times New Roman"/>
          <w:sz w:val="24"/>
          <w:szCs w:val="24"/>
          <w:highlight w:val="none"/>
          <w:lang w:val="en-US" w:eastAsia="zh-CN"/>
        </w:rPr>
        <w:t>光谱分析仪、通信信号分析仪、PON光功率计、光衰减器、可程式恒温恒湿试验机、网络性能测试仪等。</w:t>
      </w:r>
    </w:p>
    <w:p w14:paraId="4041D3CC">
      <w:pPr>
        <w:spacing w:line="360" w:lineRule="auto"/>
        <w:ind w:firstLine="480" w:firstLineChars="200"/>
        <w:rPr>
          <w:rFonts w:hint="eastAsia" w:ascii="Times New Roman" w:eastAsia="宋体"/>
          <w:sz w:val="24"/>
          <w:szCs w:val="24"/>
          <w:highlight w:val="none"/>
          <w:lang w:val="en-US" w:eastAsia="zh-CN"/>
        </w:rPr>
      </w:pPr>
      <w:r>
        <w:rPr>
          <w:rFonts w:hint="eastAsia" w:ascii="Times New Roman"/>
          <w:sz w:val="24"/>
          <w:szCs w:val="24"/>
          <w:highlight w:val="none"/>
          <w:lang w:val="en-US" w:eastAsia="zh-CN"/>
        </w:rPr>
        <w:t>本文起草工作过程中，委托中国泰尔实验室、信息产业北京电话交换设备质量监督检验中心，内蒙古电力科学研究院等检测机构对标准中网络信息安全和网络功能测试，接口测试、业务支持能力测试、静态功耗测试作了验证并出具检验报告。</w:t>
      </w:r>
      <w:r>
        <w:rPr>
          <w:rFonts w:hint="eastAsia" w:ascii="宋体" w:hAnsi="宋体" w:cs="宋体"/>
          <w:sz w:val="24"/>
          <w:szCs w:val="24"/>
          <w:highlight w:val="none"/>
        </w:rPr>
        <w:t>测试结果均符合本文件中的指标要求，为标准的制定提供了试验数据支撑</w:t>
      </w:r>
      <w:r>
        <w:rPr>
          <w:rFonts w:hint="eastAsia" w:ascii="宋体" w:hAnsi="宋体" w:cs="宋体"/>
          <w:sz w:val="24"/>
          <w:szCs w:val="24"/>
          <w:highlight w:val="none"/>
          <w:lang w:eastAsia="zh-CN"/>
        </w:rPr>
        <w:t>。</w:t>
      </w:r>
    </w:p>
    <w:p w14:paraId="179FA774">
      <w:pPr>
        <w:spacing w:line="360" w:lineRule="auto"/>
        <w:ind w:firstLine="480" w:firstLineChars="200"/>
        <w:rPr>
          <w:rFonts w:hint="eastAsia" w:ascii="宋体" w:hAnsi="宋体" w:cs="宋体"/>
          <w:sz w:val="24"/>
          <w:szCs w:val="24"/>
          <w:highlight w:val="yellow"/>
        </w:rPr>
      </w:pPr>
    </w:p>
    <w:p w14:paraId="326B319F">
      <w:pPr>
        <w:pStyle w:val="44"/>
        <w:numPr>
          <w:ilvl w:val="0"/>
          <w:numId w:val="4"/>
        </w:numPr>
        <w:ind w:firstLineChars="0"/>
        <w:rPr>
          <w:b/>
          <w:bCs/>
          <w:sz w:val="28"/>
          <w:szCs w:val="28"/>
          <w:highlight w:val="none"/>
        </w:rPr>
      </w:pPr>
      <w:r>
        <w:rPr>
          <w:rFonts w:hint="eastAsia"/>
          <w:b/>
          <w:bCs/>
          <w:sz w:val="28"/>
          <w:szCs w:val="28"/>
          <w:highlight w:val="none"/>
        </w:rPr>
        <w:t>试验项目</w:t>
      </w:r>
    </w:p>
    <w:tbl>
      <w:tblPr>
        <w:tblStyle w:val="18"/>
        <w:tblpPr w:leftFromText="180" w:rightFromText="180" w:vertAnchor="text" w:horzAnchor="margin" w:tblpY="2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5189"/>
        <w:gridCol w:w="2344"/>
      </w:tblGrid>
      <w:tr w14:paraId="2C16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67" w:type="dxa"/>
          </w:tcPr>
          <w:p w14:paraId="42BFB22C">
            <w:pPr>
              <w:pStyle w:val="44"/>
              <w:ind w:firstLine="0" w:firstLineChars="0"/>
              <w:rPr>
                <w:rFonts w:ascii="Times New Roman" w:hAnsi="Times New Roman"/>
                <w:b/>
                <w:bCs/>
                <w:sz w:val="24"/>
                <w:szCs w:val="24"/>
                <w:highlight w:val="none"/>
              </w:rPr>
            </w:pPr>
            <w:r>
              <w:rPr>
                <w:rFonts w:ascii="Times New Roman" w:hAnsi="Times New Roman"/>
                <w:b/>
                <w:bCs/>
                <w:sz w:val="24"/>
                <w:szCs w:val="24"/>
                <w:highlight w:val="none"/>
              </w:rPr>
              <w:t>序号</w:t>
            </w:r>
          </w:p>
        </w:tc>
        <w:tc>
          <w:tcPr>
            <w:tcW w:w="5189" w:type="dxa"/>
          </w:tcPr>
          <w:p w14:paraId="41DD4E92">
            <w:pPr>
              <w:pStyle w:val="44"/>
              <w:ind w:firstLine="1446" w:firstLineChars="600"/>
              <w:rPr>
                <w:rFonts w:ascii="Times New Roman" w:hAnsi="Times New Roman"/>
                <w:b/>
                <w:bCs/>
                <w:sz w:val="24"/>
                <w:szCs w:val="24"/>
                <w:highlight w:val="none"/>
              </w:rPr>
            </w:pPr>
            <w:r>
              <w:rPr>
                <w:rFonts w:ascii="Times New Roman" w:hAnsi="Times New Roman"/>
                <w:b/>
                <w:bCs/>
                <w:sz w:val="24"/>
                <w:szCs w:val="24"/>
                <w:highlight w:val="none"/>
              </w:rPr>
              <w:t>实验项目</w:t>
            </w:r>
          </w:p>
        </w:tc>
        <w:tc>
          <w:tcPr>
            <w:tcW w:w="2344" w:type="dxa"/>
          </w:tcPr>
          <w:p w14:paraId="1E49BD1A">
            <w:pPr>
              <w:pStyle w:val="44"/>
              <w:ind w:firstLine="723" w:firstLineChars="300"/>
              <w:rPr>
                <w:rFonts w:ascii="Times New Roman" w:hAnsi="Times New Roman"/>
                <w:b/>
                <w:bCs/>
                <w:sz w:val="24"/>
                <w:szCs w:val="24"/>
                <w:highlight w:val="none"/>
              </w:rPr>
            </w:pPr>
            <w:r>
              <w:rPr>
                <w:rFonts w:hint="eastAsia" w:ascii="Times New Roman" w:hAnsi="Times New Roman"/>
                <w:b/>
                <w:bCs/>
                <w:sz w:val="24"/>
                <w:szCs w:val="24"/>
                <w:highlight w:val="none"/>
              </w:rPr>
              <w:t>备注</w:t>
            </w:r>
          </w:p>
        </w:tc>
      </w:tr>
      <w:tr w14:paraId="49E1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67" w:type="dxa"/>
          </w:tcPr>
          <w:p w14:paraId="16F39EC5">
            <w:pPr>
              <w:pStyle w:val="44"/>
              <w:ind w:firstLine="240" w:firstLineChars="100"/>
              <w:rPr>
                <w:rFonts w:ascii="Times New Roman" w:hAnsi="Times New Roman"/>
                <w:sz w:val="24"/>
                <w:szCs w:val="24"/>
                <w:highlight w:val="none"/>
              </w:rPr>
            </w:pPr>
            <w:r>
              <w:rPr>
                <w:rFonts w:ascii="Times New Roman" w:hAnsi="Times New Roman"/>
                <w:sz w:val="24"/>
                <w:szCs w:val="24"/>
                <w:highlight w:val="none"/>
              </w:rPr>
              <w:t>1</w:t>
            </w:r>
          </w:p>
        </w:tc>
        <w:tc>
          <w:tcPr>
            <w:tcW w:w="5189" w:type="dxa"/>
          </w:tcPr>
          <w:p w14:paraId="59C0EE82">
            <w:pPr>
              <w:pStyle w:val="44"/>
              <w:ind w:firstLine="0" w:firstLineChars="0"/>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网络安全和网络功能：VLAN 功能、帧过滤功能、二层隔离</w:t>
            </w:r>
          </w:p>
        </w:tc>
        <w:tc>
          <w:tcPr>
            <w:tcW w:w="2344" w:type="dxa"/>
          </w:tcPr>
          <w:p w14:paraId="7BD9793B">
            <w:pPr>
              <w:pStyle w:val="44"/>
              <w:ind w:firstLine="720" w:firstLineChars="300"/>
              <w:rPr>
                <w:rFonts w:ascii="Times New Roman" w:hAnsi="Times New Roman"/>
                <w:sz w:val="24"/>
                <w:szCs w:val="24"/>
                <w:highlight w:val="none"/>
              </w:rPr>
            </w:pPr>
            <w:r>
              <w:rPr>
                <w:rFonts w:hint="eastAsia" w:ascii="Times New Roman" w:hAnsi="Times New Roman"/>
                <w:sz w:val="24"/>
                <w:szCs w:val="24"/>
                <w:highlight w:val="none"/>
              </w:rPr>
              <w:t xml:space="preserve">   </w:t>
            </w:r>
          </w:p>
        </w:tc>
      </w:tr>
      <w:tr w14:paraId="4CFF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67" w:type="dxa"/>
          </w:tcPr>
          <w:p w14:paraId="2E4BE8CC">
            <w:pPr>
              <w:pStyle w:val="44"/>
              <w:ind w:firstLine="240" w:firstLineChars="100"/>
              <w:rPr>
                <w:rFonts w:hint="eastAsia"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2</w:t>
            </w:r>
          </w:p>
        </w:tc>
        <w:tc>
          <w:tcPr>
            <w:tcW w:w="5189" w:type="dxa"/>
          </w:tcPr>
          <w:p w14:paraId="1261EEA7">
            <w:pPr>
              <w:pStyle w:val="44"/>
              <w:ind w:firstLine="0" w:firstLineChars="0"/>
              <w:rPr>
                <w:rFonts w:hint="default"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业务支持功能： 接口测试、 IP性能测试、通路性能</w:t>
            </w:r>
          </w:p>
        </w:tc>
        <w:tc>
          <w:tcPr>
            <w:tcW w:w="2344" w:type="dxa"/>
          </w:tcPr>
          <w:p w14:paraId="39983B47">
            <w:pPr>
              <w:pStyle w:val="44"/>
              <w:ind w:firstLine="720" w:firstLineChars="300"/>
              <w:rPr>
                <w:rFonts w:hint="eastAsia" w:ascii="Times New Roman" w:hAnsi="Times New Roman"/>
                <w:sz w:val="24"/>
                <w:szCs w:val="24"/>
                <w:highlight w:val="none"/>
              </w:rPr>
            </w:pPr>
          </w:p>
        </w:tc>
      </w:tr>
    </w:tbl>
    <w:p w14:paraId="0D7F49D3">
      <w:pPr>
        <w:rPr>
          <w:b/>
          <w:bCs/>
          <w:sz w:val="28"/>
          <w:szCs w:val="28"/>
          <w:highlight w:val="none"/>
        </w:rPr>
      </w:pPr>
    </w:p>
    <w:p w14:paraId="7B4EB2B8">
      <w:pPr>
        <w:pStyle w:val="44"/>
        <w:numPr>
          <w:ilvl w:val="0"/>
          <w:numId w:val="4"/>
        </w:numPr>
        <w:ind w:firstLineChars="0"/>
        <w:rPr>
          <w:b/>
          <w:bCs/>
          <w:sz w:val="28"/>
          <w:szCs w:val="28"/>
          <w:highlight w:val="none"/>
        </w:rPr>
      </w:pPr>
      <w:r>
        <w:rPr>
          <w:rFonts w:hint="eastAsia"/>
          <w:b/>
          <w:bCs/>
          <w:sz w:val="28"/>
          <w:szCs w:val="28"/>
          <w:highlight w:val="none"/>
        </w:rPr>
        <w:t>试验环境条件</w:t>
      </w:r>
    </w:p>
    <w:tbl>
      <w:tblPr>
        <w:tblStyle w:val="18"/>
        <w:tblpPr w:leftFromText="180" w:rightFromText="180" w:vertAnchor="text" w:horzAnchor="margin" w:tblpY="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5239"/>
        <w:gridCol w:w="2344"/>
      </w:tblGrid>
      <w:tr w14:paraId="377F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17" w:type="dxa"/>
          </w:tcPr>
          <w:p w14:paraId="6CBB7952">
            <w:pPr>
              <w:pStyle w:val="44"/>
              <w:ind w:firstLine="0" w:firstLineChars="0"/>
              <w:rPr>
                <w:rFonts w:ascii="Times New Roman" w:hAnsi="Times New Roman"/>
                <w:b/>
                <w:bCs/>
                <w:sz w:val="24"/>
                <w:szCs w:val="24"/>
                <w:highlight w:val="none"/>
              </w:rPr>
            </w:pPr>
            <w:r>
              <w:rPr>
                <w:rFonts w:hint="eastAsia" w:ascii="Times New Roman" w:hAnsi="Times New Roman"/>
                <w:b/>
                <w:bCs/>
                <w:sz w:val="24"/>
                <w:szCs w:val="24"/>
                <w:highlight w:val="none"/>
              </w:rPr>
              <w:t>序号</w:t>
            </w:r>
          </w:p>
        </w:tc>
        <w:tc>
          <w:tcPr>
            <w:tcW w:w="7583" w:type="dxa"/>
            <w:gridSpan w:val="2"/>
          </w:tcPr>
          <w:p w14:paraId="7A0AE14E">
            <w:pPr>
              <w:pStyle w:val="44"/>
              <w:ind w:firstLine="2409" w:firstLineChars="1000"/>
              <w:rPr>
                <w:rFonts w:ascii="Times New Roman" w:hAnsi="Times New Roman"/>
                <w:b/>
                <w:bCs/>
                <w:sz w:val="24"/>
                <w:szCs w:val="24"/>
                <w:highlight w:val="none"/>
              </w:rPr>
            </w:pPr>
            <w:r>
              <w:rPr>
                <w:rFonts w:hint="eastAsia" w:ascii="Times New Roman" w:hAnsi="Times New Roman"/>
                <w:b/>
                <w:bCs/>
                <w:sz w:val="24"/>
                <w:szCs w:val="24"/>
                <w:highlight w:val="none"/>
              </w:rPr>
              <w:t>试验环境条件</w:t>
            </w:r>
          </w:p>
        </w:tc>
      </w:tr>
      <w:tr w14:paraId="5921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17" w:type="dxa"/>
          </w:tcPr>
          <w:p w14:paraId="60844979">
            <w:pPr>
              <w:pStyle w:val="44"/>
              <w:ind w:firstLine="240" w:firstLineChars="100"/>
              <w:rPr>
                <w:rFonts w:ascii="Times New Roman" w:hAnsi="Times New Roman"/>
                <w:sz w:val="24"/>
                <w:szCs w:val="24"/>
                <w:highlight w:val="none"/>
              </w:rPr>
            </w:pPr>
            <w:r>
              <w:rPr>
                <w:rFonts w:hint="eastAsia" w:ascii="Times New Roman" w:hAnsi="Times New Roman"/>
                <w:sz w:val="24"/>
                <w:szCs w:val="24"/>
                <w:highlight w:val="none"/>
              </w:rPr>
              <w:t>1</w:t>
            </w:r>
          </w:p>
        </w:tc>
        <w:tc>
          <w:tcPr>
            <w:tcW w:w="5239" w:type="dxa"/>
          </w:tcPr>
          <w:p w14:paraId="54D7B8CE">
            <w:pPr>
              <w:pStyle w:val="44"/>
              <w:ind w:firstLine="1200" w:firstLineChars="500"/>
              <w:rPr>
                <w:rFonts w:ascii="Times New Roman" w:hAnsi="Times New Roman"/>
                <w:sz w:val="24"/>
                <w:szCs w:val="24"/>
                <w:highlight w:val="none"/>
              </w:rPr>
            </w:pPr>
            <w:r>
              <w:rPr>
                <w:rFonts w:hint="eastAsia" w:ascii="Times New Roman" w:hAnsi="Times New Roman"/>
                <w:sz w:val="24"/>
                <w:szCs w:val="24"/>
                <w:highlight w:val="none"/>
              </w:rPr>
              <w:t>环境温度</w:t>
            </w:r>
          </w:p>
        </w:tc>
        <w:tc>
          <w:tcPr>
            <w:tcW w:w="2344" w:type="dxa"/>
          </w:tcPr>
          <w:p w14:paraId="3A7A091C">
            <w:pPr>
              <w:pStyle w:val="44"/>
              <w:ind w:left="0" w:leftChars="0" w:firstLine="0" w:firstLineChars="0"/>
              <w:rPr>
                <w:rFonts w:hint="eastAsia" w:ascii="Times New Roman" w:hAnsi="Times New Roman"/>
                <w:sz w:val="24"/>
                <w:szCs w:val="24"/>
                <w:highlight w:val="none"/>
                <w:lang w:eastAsia="zh-CN"/>
              </w:rPr>
            </w:pPr>
            <w:r>
              <w:rPr>
                <w:rFonts w:hint="eastAsia" w:ascii="Times New Roman" w:hAnsi="Times New Roman"/>
                <w:sz w:val="24"/>
                <w:szCs w:val="24"/>
                <w:highlight w:val="none"/>
              </w:rPr>
              <w:t xml:space="preserve">25℃ </w:t>
            </w:r>
            <w:r>
              <w:rPr>
                <w:rFonts w:hint="eastAsia" w:ascii="Times New Roman" w:hAnsi="Times New Roman"/>
                <w:sz w:val="24"/>
                <w:szCs w:val="24"/>
                <w:highlight w:val="none"/>
                <w:lang w:eastAsia="zh-CN"/>
              </w:rPr>
              <w:t>——</w:t>
            </w:r>
            <w:r>
              <w:rPr>
                <w:rFonts w:hint="eastAsia" w:ascii="Times New Roman" w:hAnsi="Times New Roman"/>
                <w:sz w:val="24"/>
                <w:szCs w:val="24"/>
                <w:highlight w:val="none"/>
                <w:lang w:val="en-US" w:eastAsia="zh-CN"/>
              </w:rPr>
              <w:t>55</w:t>
            </w:r>
            <w:r>
              <w:rPr>
                <w:rFonts w:hint="eastAsia" w:ascii="Times New Roman" w:hAnsi="Times New Roman"/>
                <w:sz w:val="24"/>
                <w:szCs w:val="24"/>
                <w:highlight w:val="none"/>
              </w:rPr>
              <w:t>℃</w:t>
            </w:r>
          </w:p>
          <w:p w14:paraId="0E86C5DA">
            <w:pPr>
              <w:pStyle w:val="44"/>
              <w:ind w:left="0" w:leftChars="0" w:firstLine="0" w:firstLineChars="0"/>
              <w:rPr>
                <w:rFonts w:hint="eastAsia"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-25</w:t>
            </w:r>
            <w:r>
              <w:rPr>
                <w:rFonts w:hint="eastAsia" w:ascii="Times New Roman" w:hAnsi="Times New Roman"/>
                <w:sz w:val="24"/>
                <w:szCs w:val="24"/>
                <w:highlight w:val="none"/>
              </w:rPr>
              <w:t>℃</w:t>
            </w:r>
            <w:r>
              <w:rPr>
                <w:rFonts w:hint="eastAsia" w:ascii="Times New Roman" w:hAnsi="Times New Roman"/>
                <w:sz w:val="24"/>
                <w:szCs w:val="24"/>
                <w:highlight w:val="none"/>
                <w:lang w:val="en-US" w:eastAsia="zh-CN"/>
              </w:rPr>
              <w:t>——</w:t>
            </w:r>
            <w:r>
              <w:rPr>
                <w:rFonts w:hint="eastAsia" w:ascii="Times New Roman" w:hAnsi="Times New Roman"/>
                <w:sz w:val="24"/>
                <w:szCs w:val="24"/>
                <w:highlight w:val="none"/>
              </w:rPr>
              <w:t>25℃</w:t>
            </w:r>
          </w:p>
        </w:tc>
      </w:tr>
      <w:tr w14:paraId="0C5F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17" w:type="dxa"/>
          </w:tcPr>
          <w:p w14:paraId="0CD1B5F9">
            <w:pPr>
              <w:pStyle w:val="44"/>
              <w:ind w:firstLine="240" w:firstLineChars="100"/>
              <w:rPr>
                <w:rFonts w:ascii="Times New Roman" w:hAnsi="Times New Roman"/>
                <w:sz w:val="24"/>
                <w:szCs w:val="24"/>
                <w:highlight w:val="none"/>
              </w:rPr>
            </w:pPr>
            <w:r>
              <w:rPr>
                <w:rFonts w:hint="eastAsia" w:ascii="Times New Roman" w:hAnsi="Times New Roman"/>
                <w:sz w:val="24"/>
                <w:szCs w:val="24"/>
                <w:highlight w:val="none"/>
              </w:rPr>
              <w:t>2</w:t>
            </w:r>
          </w:p>
        </w:tc>
        <w:tc>
          <w:tcPr>
            <w:tcW w:w="5239" w:type="dxa"/>
          </w:tcPr>
          <w:p w14:paraId="55125AB1">
            <w:pPr>
              <w:pStyle w:val="44"/>
              <w:ind w:firstLine="1200" w:firstLineChars="500"/>
              <w:rPr>
                <w:rFonts w:ascii="Times New Roman" w:hAnsi="Times New Roman"/>
                <w:sz w:val="24"/>
                <w:szCs w:val="24"/>
                <w:highlight w:val="none"/>
              </w:rPr>
            </w:pPr>
            <w:r>
              <w:rPr>
                <w:rFonts w:hint="eastAsia" w:ascii="Times New Roman" w:hAnsi="Times New Roman"/>
                <w:sz w:val="24"/>
                <w:szCs w:val="24"/>
                <w:highlight w:val="none"/>
              </w:rPr>
              <w:t>环境湿度</w:t>
            </w:r>
          </w:p>
        </w:tc>
        <w:tc>
          <w:tcPr>
            <w:tcW w:w="2344" w:type="dxa"/>
          </w:tcPr>
          <w:p w14:paraId="1438EF1B">
            <w:pPr>
              <w:pStyle w:val="44"/>
              <w:ind w:firstLine="720" w:firstLineChars="300"/>
              <w:rPr>
                <w:rFonts w:ascii="Times New Roman" w:hAnsi="Times New Roman"/>
                <w:sz w:val="24"/>
                <w:szCs w:val="24"/>
                <w:highlight w:val="none"/>
              </w:rPr>
            </w:pPr>
            <w:r>
              <w:rPr>
                <w:rFonts w:hint="eastAsia" w:ascii="Times New Roman" w:hAnsi="Times New Roman"/>
                <w:sz w:val="24"/>
                <w:szCs w:val="24"/>
                <w:highlight w:val="none"/>
              </w:rPr>
              <w:t>56%RH</w:t>
            </w:r>
          </w:p>
        </w:tc>
      </w:tr>
    </w:tbl>
    <w:p w14:paraId="4E6AB8D9">
      <w:pPr>
        <w:rPr>
          <w:b/>
          <w:bCs/>
          <w:sz w:val="28"/>
          <w:szCs w:val="28"/>
          <w:highlight w:val="yellow"/>
        </w:rPr>
      </w:pPr>
    </w:p>
    <w:p w14:paraId="567B3C32">
      <w:pPr>
        <w:rPr>
          <w:rFonts w:hint="eastAsia" w:ascii="Times New Roman" w:hAnsi="Times New Roman" w:eastAsiaTheme="minorEastAsia"/>
          <w:sz w:val="24"/>
          <w:szCs w:val="24"/>
          <w:highlight w:val="none"/>
        </w:rPr>
      </w:pPr>
      <w:r>
        <w:rPr>
          <w:rFonts w:hint="eastAsia"/>
          <w:b/>
          <w:bCs/>
          <w:sz w:val="28"/>
          <w:szCs w:val="28"/>
          <w:highlight w:val="none"/>
        </w:rPr>
        <w:t>3、试验依据</w:t>
      </w:r>
    </w:p>
    <w:p w14:paraId="28177416">
      <w:pPr>
        <w:spacing w:line="360" w:lineRule="auto"/>
        <w:ind w:firstLine="480" w:firstLineChars="200"/>
        <w:rPr>
          <w:rFonts w:hint="eastAsia" w:ascii="Times New Roman"/>
          <w:sz w:val="24"/>
          <w:szCs w:val="24"/>
          <w:highlight w:val="none"/>
          <w:lang w:val="en-US" w:eastAsia="zh-CN"/>
        </w:rPr>
      </w:pPr>
      <w:r>
        <w:rPr>
          <w:rFonts w:hint="eastAsia" w:ascii="Times New Roman"/>
          <w:sz w:val="24"/>
          <w:szCs w:val="24"/>
          <w:highlight w:val="none"/>
          <w:lang w:val="en-US" w:eastAsia="zh-CN"/>
        </w:rPr>
        <w:t>试验依据GB/T 1726电磁兼容 试验和测量技术， YD/T 4002—2024  5G数字蜂窝移动通信网电测量。</w:t>
      </w:r>
    </w:p>
    <w:p w14:paraId="4B203140">
      <w:pPr>
        <w:rPr>
          <w:b/>
          <w:bCs/>
          <w:sz w:val="28"/>
          <w:szCs w:val="28"/>
          <w:highlight w:val="none"/>
        </w:rPr>
      </w:pPr>
      <w:r>
        <w:rPr>
          <w:rFonts w:hint="eastAsia"/>
          <w:b/>
          <w:bCs/>
          <w:sz w:val="28"/>
          <w:szCs w:val="28"/>
          <w:highlight w:val="none"/>
        </w:rPr>
        <w:t>4、试验结果</w:t>
      </w:r>
    </w:p>
    <w:tbl>
      <w:tblPr>
        <w:tblStyle w:val="17"/>
        <w:tblW w:w="49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5"/>
        <w:gridCol w:w="2830"/>
        <w:gridCol w:w="3491"/>
      </w:tblGrid>
      <w:tr w14:paraId="3E0D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244" w:type="pct"/>
          </w:tcPr>
          <w:p w14:paraId="68B6085D">
            <w:pPr>
              <w:jc w:val="center"/>
              <w:rPr>
                <w:rFonts w:ascii="Times New Roman" w:hAnsiTheme="minorHAnsi" w:eastAsiaTheme="minorEastAsia" w:cstheme="minorBidi"/>
                <w:b/>
                <w:bCs/>
                <w:sz w:val="24"/>
                <w:szCs w:val="24"/>
                <w:highlight w:val="yellow"/>
              </w:rPr>
            </w:pPr>
          </w:p>
          <w:p w14:paraId="6EEA62C7">
            <w:pPr>
              <w:jc w:val="center"/>
              <w:rPr>
                <w:rFonts w:ascii="Times New Roman" w:hAnsiTheme="minorHAnsi" w:eastAsiaTheme="minorEastAsia" w:cstheme="minorBidi"/>
                <w:b/>
                <w:bCs/>
                <w:sz w:val="24"/>
                <w:szCs w:val="24"/>
                <w:highlight w:val="yellow"/>
              </w:rPr>
            </w:pPr>
            <w:r>
              <w:rPr>
                <w:rFonts w:hint="eastAsia" w:ascii="Times New Roman" w:hAnsiTheme="minorHAnsi" w:eastAsiaTheme="minorEastAsia" w:cstheme="minorBidi"/>
                <w:b/>
                <w:bCs/>
                <w:sz w:val="24"/>
                <w:szCs w:val="24"/>
                <w:highlight w:val="none"/>
              </w:rPr>
              <w:t>实验项目</w:t>
            </w:r>
          </w:p>
        </w:tc>
        <w:tc>
          <w:tcPr>
            <w:tcW w:w="1681" w:type="pct"/>
          </w:tcPr>
          <w:p w14:paraId="0CFCE5E8">
            <w:pPr>
              <w:jc w:val="center"/>
              <w:rPr>
                <w:rFonts w:ascii="Times New Roman" w:hAnsiTheme="minorHAnsi" w:eastAsiaTheme="minorEastAsia" w:cstheme="minorBidi"/>
                <w:b/>
                <w:bCs/>
                <w:sz w:val="24"/>
                <w:szCs w:val="24"/>
                <w:highlight w:val="yellow"/>
              </w:rPr>
            </w:pPr>
          </w:p>
          <w:p w14:paraId="091CCDFE">
            <w:pPr>
              <w:jc w:val="center"/>
              <w:rPr>
                <w:rFonts w:ascii="Times New Roman" w:hAnsiTheme="minorHAnsi" w:eastAsiaTheme="minorEastAsia" w:cstheme="minorBidi"/>
                <w:b/>
                <w:bCs/>
                <w:sz w:val="24"/>
                <w:szCs w:val="24"/>
                <w:highlight w:val="yellow"/>
              </w:rPr>
            </w:pPr>
            <w:r>
              <w:rPr>
                <w:rFonts w:hint="eastAsia" w:ascii="Times New Roman" w:hAnsiTheme="minorHAnsi" w:eastAsiaTheme="minorEastAsia" w:cstheme="minorBidi"/>
                <w:b/>
                <w:bCs/>
                <w:sz w:val="24"/>
                <w:szCs w:val="24"/>
                <w:highlight w:val="none"/>
              </w:rPr>
              <w:t>测试方法</w:t>
            </w:r>
          </w:p>
        </w:tc>
        <w:tc>
          <w:tcPr>
            <w:tcW w:w="2074" w:type="pct"/>
          </w:tcPr>
          <w:p w14:paraId="37E0371D">
            <w:pPr>
              <w:jc w:val="center"/>
              <w:rPr>
                <w:rFonts w:hint="eastAsia" w:ascii="Times New Roman" w:hAnsiTheme="minorHAnsi" w:eastAsiaTheme="minorEastAsia" w:cstheme="minorBidi"/>
                <w:b/>
                <w:bCs/>
                <w:sz w:val="24"/>
                <w:szCs w:val="24"/>
                <w:highlight w:val="none"/>
              </w:rPr>
            </w:pPr>
          </w:p>
          <w:p w14:paraId="7F9A2B12">
            <w:pPr>
              <w:jc w:val="center"/>
              <w:rPr>
                <w:rFonts w:hint="eastAsia" w:ascii="Times New Roman" w:hAnsiTheme="minorHAnsi" w:eastAsiaTheme="minorEastAsia" w:cstheme="minorBidi"/>
                <w:b/>
                <w:bCs/>
                <w:sz w:val="24"/>
                <w:szCs w:val="24"/>
                <w:highlight w:val="none"/>
              </w:rPr>
            </w:pPr>
            <w:r>
              <w:rPr>
                <w:rFonts w:hint="eastAsia" w:ascii="Times New Roman" w:hAnsiTheme="minorHAnsi" w:eastAsiaTheme="minorEastAsia" w:cstheme="minorBidi"/>
                <w:b/>
                <w:bCs/>
                <w:sz w:val="24"/>
                <w:szCs w:val="24"/>
                <w:highlight w:val="none"/>
              </w:rPr>
              <w:t>技术要求</w:t>
            </w:r>
          </w:p>
        </w:tc>
      </w:tr>
      <w:tr w14:paraId="76C4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8" w:hRule="atLeast"/>
        </w:trPr>
        <w:tc>
          <w:tcPr>
            <w:tcW w:w="1244" w:type="pct"/>
          </w:tcPr>
          <w:p w14:paraId="3774C7BA">
            <w:pPr>
              <w:rPr>
                <w:rFonts w:ascii="Times New Roman" w:hAnsi="Times New Roman" w:eastAsiaTheme="minorEastAsia"/>
                <w:sz w:val="24"/>
                <w:szCs w:val="24"/>
                <w:highlight w:val="yellow"/>
              </w:rPr>
            </w:pPr>
          </w:p>
          <w:p w14:paraId="116B25E8">
            <w:pPr>
              <w:jc w:val="center"/>
              <w:rPr>
                <w:rFonts w:hint="eastAsia" w:ascii="Times New Roman" w:hAnsi="Times New Roman" w:eastAsiaTheme="minorEastAsia"/>
                <w:sz w:val="24"/>
                <w:szCs w:val="24"/>
                <w:highlight w:val="none"/>
                <w:lang w:val="en-US" w:eastAsia="zh-CN"/>
              </w:rPr>
            </w:pPr>
          </w:p>
          <w:p w14:paraId="0C4253AB">
            <w:pPr>
              <w:jc w:val="cente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网络安全和网络功能</w:t>
            </w:r>
          </w:p>
          <w:p w14:paraId="39F02A62">
            <w:pPr>
              <w:rPr>
                <w:rFonts w:ascii="Times New Roman" w:hAnsi="Times New Roman" w:eastAsiaTheme="minorEastAsia"/>
                <w:sz w:val="24"/>
                <w:szCs w:val="24"/>
                <w:highlight w:val="yellow"/>
              </w:rPr>
            </w:pPr>
          </w:p>
        </w:tc>
        <w:tc>
          <w:tcPr>
            <w:tcW w:w="1681" w:type="pct"/>
          </w:tcPr>
          <w:p w14:paraId="231E88F5">
            <w:pPr>
              <w:rPr>
                <w:rFonts w:ascii="Times New Roman" w:hAnsi="Times New Roman" w:eastAsiaTheme="minorEastAsia"/>
                <w:sz w:val="24"/>
                <w:szCs w:val="24"/>
                <w:highlight w:val="yellow"/>
              </w:rPr>
            </w:pPr>
          </w:p>
          <w:p w14:paraId="2CA29C1D">
            <w:pPr>
              <w:rPr>
                <w:rFonts w:ascii="Times New Roman" w:hAnsi="Times New Roman" w:eastAsiaTheme="minorEastAsia"/>
                <w:sz w:val="24"/>
                <w:szCs w:val="24"/>
                <w:highlight w:val="yellow"/>
              </w:rPr>
            </w:pPr>
            <w:r>
              <w:rPr>
                <w:rFonts w:hint="eastAsia" w:ascii="Times New Roman" w:hAnsi="Times New Roman" w:eastAsiaTheme="minorEastAsia"/>
                <w:sz w:val="24"/>
                <w:szCs w:val="24"/>
                <w:highlight w:val="none"/>
                <w:lang w:val="en-US" w:eastAsia="zh-CN"/>
              </w:rPr>
              <w:t>ONU网络功能通过EMS 测试，对其配置管理、性能管理、故障管理功能进行测试</w:t>
            </w:r>
          </w:p>
        </w:tc>
        <w:tc>
          <w:tcPr>
            <w:tcW w:w="2074" w:type="pct"/>
          </w:tcPr>
          <w:p w14:paraId="29742A60">
            <w:pPr>
              <w:rPr>
                <w:rFonts w:ascii="Times New Roman" w:hAnsi="Times New Roman" w:eastAsiaTheme="minorEastAsia"/>
                <w:sz w:val="24"/>
                <w:szCs w:val="24"/>
                <w:highlight w:val="yellow"/>
              </w:rPr>
            </w:pPr>
          </w:p>
          <w:p w14:paraId="48F75FF9">
            <w:pPr>
              <w:rPr>
                <w:rFonts w:ascii="Times New Roman" w:hAnsi="Times New Roman" w:eastAsiaTheme="minorEastAsia"/>
                <w:sz w:val="24"/>
                <w:szCs w:val="24"/>
                <w:highlight w:val="yellow"/>
              </w:rPr>
            </w:pPr>
            <w:r>
              <w:rPr>
                <w:rFonts w:hint="eastAsia" w:ascii="Times New Roman" w:hAnsi="Times New Roman" w:eastAsiaTheme="minorEastAsia"/>
                <w:sz w:val="24"/>
                <w:szCs w:val="24"/>
                <w:highlight w:val="none"/>
                <w:lang w:val="en-US" w:eastAsia="zh-CN"/>
              </w:rPr>
              <w:t>对用户侧端口进行配置，配置以太网功能、PON功能，网络拓扑结构变换自动更新；测量分析功能、监测测试功能、故障定位功能</w:t>
            </w:r>
          </w:p>
        </w:tc>
      </w:tr>
      <w:tr w14:paraId="18B0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8" w:hRule="atLeast"/>
        </w:trPr>
        <w:tc>
          <w:tcPr>
            <w:tcW w:w="1244" w:type="pct"/>
          </w:tcPr>
          <w:p w14:paraId="04D7BDEC">
            <w:pPr>
              <w:rPr>
                <w:rFonts w:ascii="Times New Roman" w:hAnsi="Times New Roman" w:eastAsiaTheme="minorEastAsia"/>
                <w:sz w:val="24"/>
                <w:szCs w:val="24"/>
                <w:highlight w:val="yellow"/>
              </w:rPr>
            </w:pPr>
          </w:p>
          <w:p w14:paraId="224AA342">
            <w:pPr>
              <w:jc w:val="center"/>
              <w:rPr>
                <w:rFonts w:hint="default" w:ascii="Times New Roman" w:hAnsi="Times New Roman" w:eastAsiaTheme="minorEastAsia"/>
                <w:sz w:val="24"/>
                <w:szCs w:val="24"/>
                <w:highlight w:val="yellow"/>
                <w:lang w:val="en-US"/>
              </w:rPr>
            </w:pPr>
            <w:r>
              <w:rPr>
                <w:rFonts w:hint="eastAsia" w:ascii="Times New Roman" w:hAnsi="Times New Roman" w:eastAsiaTheme="minorEastAsia"/>
                <w:sz w:val="24"/>
                <w:szCs w:val="24"/>
                <w:highlight w:val="none"/>
                <w:lang w:val="en-US" w:eastAsia="zh-CN"/>
              </w:rPr>
              <w:t>业务支持功能</w:t>
            </w:r>
          </w:p>
        </w:tc>
        <w:tc>
          <w:tcPr>
            <w:tcW w:w="1681" w:type="pct"/>
          </w:tcPr>
          <w:p w14:paraId="082074EA">
            <w:pP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ONU侧PON接口测试</w:t>
            </w:r>
          </w:p>
          <w:p w14:paraId="7156FA64">
            <w:pPr>
              <w:rPr>
                <w:rFonts w:hint="eastAsia" w:ascii="Times New Roman" w:hAnsi="Times New Roman" w:eastAsiaTheme="minorEastAsia"/>
                <w:sz w:val="24"/>
                <w:szCs w:val="24"/>
                <w:highlight w:val="none"/>
                <w:lang w:val="en-US" w:eastAsia="zh-CN"/>
              </w:rPr>
            </w:pPr>
          </w:p>
          <w:p w14:paraId="6B7DBD8D">
            <w:pPr>
              <w:rPr>
                <w:rFonts w:hint="eastAsia" w:ascii="Times New Roman" w:hAnsi="Times New Roman" w:eastAsiaTheme="minorEastAsia"/>
                <w:sz w:val="24"/>
                <w:szCs w:val="24"/>
                <w:highlight w:val="none"/>
                <w:lang w:val="en-US" w:eastAsia="zh-CN"/>
              </w:rPr>
            </w:pPr>
          </w:p>
          <w:p w14:paraId="08F737C2">
            <w:pP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UNI 接口测试</w:t>
            </w:r>
          </w:p>
          <w:p w14:paraId="367708BC">
            <w:pPr>
              <w:rPr>
                <w:rFonts w:hint="eastAsia" w:ascii="Times New Roman" w:hAnsi="Times New Roman" w:eastAsiaTheme="minorEastAsia"/>
                <w:sz w:val="24"/>
                <w:szCs w:val="24"/>
                <w:highlight w:val="none"/>
                <w:lang w:val="en-US" w:eastAsia="zh-CN"/>
              </w:rPr>
            </w:pPr>
          </w:p>
          <w:p w14:paraId="3E37D576">
            <w:pPr>
              <w:rPr>
                <w:rFonts w:hint="eastAsia" w:ascii="Times New Roman" w:hAnsi="Times New Roman" w:eastAsiaTheme="minorEastAsia"/>
                <w:sz w:val="24"/>
                <w:szCs w:val="24"/>
                <w:highlight w:val="none"/>
                <w:lang w:val="en-US" w:eastAsia="zh-CN"/>
              </w:rPr>
            </w:pPr>
          </w:p>
          <w:p w14:paraId="0E3BBB2A">
            <w:pPr>
              <w:rPr>
                <w:rFonts w:hint="eastAsia" w:ascii="Times New Roman" w:hAnsi="Times New Roman" w:eastAsiaTheme="minorEastAsia"/>
                <w:sz w:val="24"/>
                <w:szCs w:val="24"/>
                <w:highlight w:val="none"/>
                <w:lang w:val="en-US" w:eastAsia="zh-CN"/>
              </w:rPr>
            </w:pPr>
          </w:p>
          <w:p w14:paraId="0D3326B4">
            <w:pP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IP性能测试</w:t>
            </w:r>
          </w:p>
          <w:p w14:paraId="5CD51EE3">
            <w:pPr>
              <w:rPr>
                <w:rFonts w:hint="eastAsia" w:ascii="Times New Roman" w:hAnsi="Times New Roman" w:eastAsiaTheme="minorEastAsia"/>
                <w:sz w:val="24"/>
                <w:szCs w:val="24"/>
                <w:highlight w:val="none"/>
                <w:lang w:val="en-US" w:eastAsia="zh-CN"/>
              </w:rPr>
            </w:pPr>
          </w:p>
          <w:p w14:paraId="1CCAAD7F">
            <w:pPr>
              <w:rPr>
                <w:rFonts w:hint="eastAsia" w:ascii="Times New Roman" w:hAnsi="Times New Roman" w:eastAsiaTheme="minorEastAsia"/>
                <w:sz w:val="24"/>
                <w:szCs w:val="24"/>
                <w:highlight w:val="none"/>
                <w:lang w:val="en-US" w:eastAsia="zh-CN"/>
              </w:rPr>
            </w:pPr>
          </w:p>
          <w:p w14:paraId="15475C0A">
            <w:pPr>
              <w:rPr>
                <w:rFonts w:hint="eastAsia" w:ascii="Times New Roman" w:hAnsi="Times New Roman" w:eastAsiaTheme="minorEastAsia"/>
                <w:sz w:val="24"/>
                <w:szCs w:val="24"/>
                <w:highlight w:val="none"/>
                <w:lang w:val="en-US" w:eastAsia="zh-CN"/>
              </w:rPr>
            </w:pPr>
          </w:p>
          <w:p w14:paraId="002E2967">
            <w:pPr>
              <w:rPr>
                <w:rFonts w:hint="default"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通路性能</w:t>
            </w:r>
          </w:p>
        </w:tc>
        <w:tc>
          <w:tcPr>
            <w:tcW w:w="2074" w:type="pct"/>
          </w:tcPr>
          <w:p w14:paraId="0E8C4541">
            <w:pP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接收端关断、发射功率，接收灵敏度；</w:t>
            </w:r>
          </w:p>
          <w:p w14:paraId="574115F9">
            <w:pP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10-100Base—T电接口测试，1000Base—T电接口测试，ADSL-2电接口测试；</w:t>
            </w:r>
          </w:p>
          <w:p w14:paraId="67C622CB">
            <w:pPr>
              <w:rPr>
                <w:rFonts w:hint="eastAsia"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双向吞吐量、时延、长时丢包率；</w:t>
            </w:r>
          </w:p>
          <w:p w14:paraId="10732C30">
            <w:pPr>
              <w:rPr>
                <w:rFonts w:hint="eastAsia" w:ascii="Times New Roman" w:hAnsi="Times New Roman" w:eastAsiaTheme="minorEastAsia"/>
                <w:sz w:val="24"/>
                <w:szCs w:val="24"/>
                <w:highlight w:val="none"/>
                <w:lang w:val="en-US" w:eastAsia="zh-CN"/>
              </w:rPr>
            </w:pPr>
          </w:p>
          <w:p w14:paraId="366C4B6D">
            <w:pPr>
              <w:rPr>
                <w:rFonts w:hint="eastAsia" w:ascii="Times New Roman" w:hAnsi="Times New Roman" w:eastAsiaTheme="minorEastAsia"/>
                <w:sz w:val="24"/>
                <w:szCs w:val="24"/>
                <w:highlight w:val="none"/>
                <w:lang w:val="en-US" w:eastAsia="zh-CN"/>
              </w:rPr>
            </w:pPr>
          </w:p>
          <w:p w14:paraId="313371AF">
            <w:pPr>
              <w:rPr>
                <w:rFonts w:hint="default" w:ascii="Times New Roman" w:hAnsi="Times New Roman" w:eastAsiaTheme="minorEastAsia"/>
                <w:sz w:val="24"/>
                <w:szCs w:val="24"/>
                <w:highlight w:val="none"/>
                <w:lang w:val="en-US" w:eastAsia="zh-CN"/>
              </w:rPr>
            </w:pPr>
            <w:r>
              <w:rPr>
                <w:rFonts w:hint="eastAsia" w:ascii="Times New Roman" w:hAnsi="Times New Roman" w:eastAsiaTheme="minorEastAsia"/>
                <w:sz w:val="24"/>
                <w:szCs w:val="24"/>
                <w:highlight w:val="none"/>
                <w:lang w:val="en-US" w:eastAsia="zh-CN"/>
              </w:rPr>
              <w:t>Qos功能</w:t>
            </w:r>
          </w:p>
        </w:tc>
      </w:tr>
    </w:tbl>
    <w:p w14:paraId="08B714C7">
      <w:pPr>
        <w:rPr>
          <w:rFonts w:hint="eastAsia"/>
          <w:b/>
          <w:bCs/>
          <w:sz w:val="28"/>
          <w:szCs w:val="28"/>
          <w:highlight w:val="yellow"/>
        </w:rPr>
      </w:pPr>
    </w:p>
    <w:p w14:paraId="42BFBC57">
      <w:pPr>
        <w:rPr>
          <w:b/>
          <w:bCs/>
          <w:sz w:val="28"/>
          <w:szCs w:val="28"/>
          <w:highlight w:val="none"/>
        </w:rPr>
      </w:pPr>
      <w:r>
        <w:rPr>
          <w:rFonts w:hint="eastAsia"/>
          <w:b/>
          <w:bCs/>
          <w:sz w:val="28"/>
          <w:szCs w:val="28"/>
          <w:highlight w:val="none"/>
        </w:rPr>
        <w:t>试验结论：符合</w:t>
      </w:r>
    </w:p>
    <w:p w14:paraId="79931393">
      <w:pPr>
        <w:pStyle w:val="5"/>
        <w:rPr>
          <w:rFonts w:hint="eastAsia" w:ascii="宋体" w:hAnsi="宋体" w:cs="宋体"/>
          <w:sz w:val="28"/>
          <w:szCs w:val="28"/>
        </w:rPr>
      </w:pPr>
      <w:r>
        <w:rPr>
          <w:rFonts w:hint="eastAsia" w:ascii="Times New Roman" w:hAnsi="Times New Roman"/>
          <w:bCs w:val="0"/>
          <w:sz w:val="28"/>
          <w:szCs w:val="28"/>
        </w:rPr>
        <w:t>四</w:t>
      </w:r>
      <w:r>
        <w:rPr>
          <w:rFonts w:ascii="Times New Roman" w:hAnsi="Times New Roman"/>
          <w:bCs w:val="0"/>
          <w:sz w:val="28"/>
          <w:szCs w:val="28"/>
        </w:rPr>
        <w:t>、</w:t>
      </w:r>
      <w:r>
        <w:rPr>
          <w:rFonts w:ascii="Times New Roman" w:hAnsi="Times New Roman"/>
          <w:sz w:val="28"/>
          <w:szCs w:val="28"/>
        </w:rPr>
        <w:t>标准涉及国内外专利及处置情况</w:t>
      </w:r>
    </w:p>
    <w:p w14:paraId="26DB89D1">
      <w:pPr>
        <w:spacing w:line="360" w:lineRule="auto"/>
        <w:ind w:firstLine="480" w:firstLineChars="200"/>
        <w:rPr>
          <w:sz w:val="24"/>
          <w:szCs w:val="24"/>
        </w:rPr>
      </w:pPr>
      <w:r>
        <w:rPr>
          <w:rFonts w:hint="eastAsia"/>
          <w:sz w:val="24"/>
          <w:szCs w:val="24"/>
        </w:rPr>
        <w:t>无</w:t>
      </w:r>
      <w:r>
        <w:rPr>
          <w:sz w:val="24"/>
          <w:szCs w:val="24"/>
        </w:rPr>
        <w:t>。</w:t>
      </w:r>
    </w:p>
    <w:p w14:paraId="12F899AF">
      <w:pPr>
        <w:pStyle w:val="5"/>
        <w:rPr>
          <w:rFonts w:hint="eastAsia" w:ascii="宋体" w:hAnsi="宋体" w:cs="宋体"/>
          <w:sz w:val="28"/>
          <w:szCs w:val="28"/>
          <w:highlight w:val="none"/>
        </w:rPr>
      </w:pPr>
      <w:r>
        <w:rPr>
          <w:rFonts w:hint="eastAsia" w:ascii="宋体" w:hAnsi="宋体" w:cs="宋体"/>
          <w:sz w:val="28"/>
          <w:szCs w:val="28"/>
          <w:highlight w:val="none"/>
        </w:rPr>
        <w:t>五、 预期达到的社会效益、对产业发展的作用等情况</w:t>
      </w:r>
    </w:p>
    <w:p w14:paraId="0EFC3143">
      <w:pPr>
        <w:spacing w:line="360" w:lineRule="auto"/>
        <w:ind w:firstLine="480" w:firstLineChars="200"/>
        <w:rPr>
          <w:rFonts w:hint="default" w:eastAsia="宋体"/>
          <w:sz w:val="24"/>
          <w:szCs w:val="24"/>
          <w:highlight w:val="none"/>
          <w:lang w:val="en-US" w:eastAsia="zh-CN"/>
        </w:rPr>
      </w:pPr>
      <w:r>
        <w:rPr>
          <w:rFonts w:hint="eastAsia"/>
          <w:sz w:val="24"/>
          <w:szCs w:val="24"/>
          <w:highlight w:val="none"/>
        </w:rPr>
        <w:t>本文件充分考虑与</w:t>
      </w:r>
      <w:r>
        <w:rPr>
          <w:rFonts w:hint="eastAsia"/>
          <w:sz w:val="24"/>
          <w:szCs w:val="24"/>
          <w:highlight w:val="none"/>
          <w:lang w:val="en-US" w:eastAsia="zh-CN"/>
        </w:rPr>
        <w:t>三相电能表的适配性、目前及未来一段时间采集的功能需求、现场运行的技术要求、通信要求以及运行可靠性等</w:t>
      </w:r>
      <w:r>
        <w:rPr>
          <w:rFonts w:hint="eastAsia"/>
          <w:sz w:val="24"/>
          <w:szCs w:val="24"/>
          <w:highlight w:val="none"/>
        </w:rPr>
        <w:t>因素</w:t>
      </w:r>
      <w:r>
        <w:rPr>
          <w:rFonts w:hint="eastAsia"/>
          <w:sz w:val="24"/>
          <w:szCs w:val="24"/>
          <w:highlight w:val="none"/>
          <w:lang w:eastAsia="zh-CN"/>
        </w:rPr>
        <w:t>，</w:t>
      </w:r>
      <w:r>
        <w:rPr>
          <w:rFonts w:hint="eastAsia"/>
          <w:sz w:val="24"/>
          <w:szCs w:val="24"/>
          <w:highlight w:val="none"/>
          <w:lang w:val="en-US" w:eastAsia="zh-CN"/>
        </w:rPr>
        <w:t>规定了电能信息采集终端光纤通信单元技术要求，明确了三相电能信息采集终端光纤通信单元试验方法、检验规则以及</w:t>
      </w:r>
      <w:r>
        <w:rPr>
          <w:rFonts w:hint="eastAsia"/>
          <w:sz w:val="24"/>
          <w:szCs w:val="24"/>
          <w:highlight w:val="none"/>
        </w:rPr>
        <w:t>包装、运输及贮存</w:t>
      </w:r>
      <w:r>
        <w:rPr>
          <w:rFonts w:hint="eastAsia"/>
          <w:sz w:val="24"/>
          <w:szCs w:val="24"/>
          <w:highlight w:val="none"/>
          <w:lang w:val="en-US" w:eastAsia="zh-CN"/>
        </w:rPr>
        <w:t>要求等内容</w:t>
      </w:r>
    </w:p>
    <w:p w14:paraId="3B938BBE">
      <w:pPr>
        <w:spacing w:line="360" w:lineRule="auto"/>
        <w:ind w:firstLine="480" w:firstLineChars="200"/>
        <w:rPr>
          <w:rFonts w:hint="default" w:eastAsia="宋体"/>
          <w:sz w:val="24"/>
          <w:szCs w:val="24"/>
          <w:highlight w:val="none"/>
          <w:lang w:val="en-US" w:eastAsia="zh-CN"/>
        </w:rPr>
      </w:pPr>
      <w:r>
        <w:rPr>
          <w:rFonts w:hint="eastAsia"/>
          <w:sz w:val="24"/>
          <w:szCs w:val="24"/>
          <w:highlight w:val="none"/>
        </w:rPr>
        <w:t>本文件所提</w:t>
      </w:r>
      <w:r>
        <w:rPr>
          <w:rFonts w:hint="eastAsia"/>
          <w:sz w:val="24"/>
          <w:szCs w:val="24"/>
          <w:highlight w:val="none"/>
          <w:lang w:val="en-US" w:eastAsia="zh-CN"/>
        </w:rPr>
        <w:t>技术要求、试验方法等内容科学合理、标准规范，能够指导三相电能表电能信息采集终端光纤通信单元的型式评价以及出厂检测，为产品的质量控制提供指导，保证电能信息采集终端光纤通信单元设备质量，提升产品现场运行可靠性。</w:t>
      </w:r>
    </w:p>
    <w:p w14:paraId="0F20CD0C">
      <w:pPr>
        <w:pStyle w:val="5"/>
        <w:rPr>
          <w:rFonts w:hint="eastAsia" w:ascii="宋体" w:hAnsi="宋体" w:cs="宋体"/>
          <w:sz w:val="28"/>
          <w:szCs w:val="28"/>
        </w:rPr>
      </w:pPr>
      <w:r>
        <w:rPr>
          <w:rFonts w:hint="eastAsia" w:ascii="宋体" w:hAnsi="宋体" w:cs="宋体"/>
          <w:sz w:val="28"/>
          <w:szCs w:val="28"/>
        </w:rPr>
        <w:t>六、</w:t>
      </w:r>
      <w:r>
        <w:rPr>
          <w:rFonts w:ascii="Times New Roman" w:hAnsi="Times New Roman"/>
          <w:sz w:val="28"/>
          <w:szCs w:val="28"/>
        </w:rPr>
        <w:t>标准与现有标准、制定中标准的协调配套情况</w:t>
      </w:r>
    </w:p>
    <w:p w14:paraId="46702ABF">
      <w:pPr>
        <w:spacing w:line="360" w:lineRule="auto"/>
        <w:ind w:firstLine="480" w:firstLineChars="200"/>
        <w:rPr>
          <w:rFonts w:ascii="Times New Roman" w:hAnsi="Times New Roman"/>
          <w:szCs w:val="21"/>
        </w:rPr>
      </w:pPr>
      <w:r>
        <w:rPr>
          <w:rFonts w:ascii="Times New Roman" w:hAnsi="Times New Roman"/>
          <w:sz w:val="24"/>
          <w:szCs w:val="24"/>
        </w:rPr>
        <w:t>与现有标准、制定中的标准没有矛盾。</w:t>
      </w:r>
    </w:p>
    <w:p w14:paraId="317F2986">
      <w:pPr>
        <w:pStyle w:val="5"/>
        <w:rPr>
          <w:rFonts w:hint="eastAsia" w:ascii="宋体" w:hAnsi="宋体" w:cs="宋体"/>
          <w:sz w:val="28"/>
          <w:szCs w:val="28"/>
        </w:rPr>
      </w:pPr>
      <w:r>
        <w:rPr>
          <w:rFonts w:hint="eastAsia" w:ascii="宋体" w:hAnsi="宋体" w:cs="宋体"/>
          <w:sz w:val="28"/>
          <w:szCs w:val="28"/>
        </w:rPr>
        <w:t>七、采用国际标准和国外先进标准情况</w:t>
      </w:r>
    </w:p>
    <w:p w14:paraId="500A59D3">
      <w:pPr>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无。</w:t>
      </w:r>
    </w:p>
    <w:p w14:paraId="0CBFAB55">
      <w:pPr>
        <w:pStyle w:val="5"/>
        <w:rPr>
          <w:rFonts w:hint="eastAsia" w:ascii="宋体" w:hAnsi="宋体" w:cs="宋体"/>
          <w:sz w:val="28"/>
          <w:szCs w:val="28"/>
        </w:rPr>
      </w:pPr>
      <w:r>
        <w:rPr>
          <w:rFonts w:hint="eastAsia" w:ascii="宋体" w:hAnsi="宋体" w:cs="宋体"/>
          <w:sz w:val="28"/>
          <w:szCs w:val="28"/>
        </w:rPr>
        <w:t>八、标准性质的重大分歧意见的处理经过和依据</w:t>
      </w:r>
    </w:p>
    <w:p w14:paraId="0AB984AA">
      <w:pPr>
        <w:spacing w:line="360" w:lineRule="auto"/>
        <w:ind w:firstLine="480" w:firstLineChars="200"/>
        <w:rPr>
          <w:rFonts w:ascii="Times New Roman" w:hAnsi="Times New Roman"/>
          <w:sz w:val="24"/>
          <w:szCs w:val="24"/>
          <w:lang w:val="zh-CN"/>
        </w:rPr>
      </w:pPr>
      <w:r>
        <w:rPr>
          <w:rFonts w:ascii="Times New Roman" w:hAnsi="Times New Roman"/>
          <w:sz w:val="24"/>
          <w:szCs w:val="24"/>
          <w:lang w:val="zh-CN"/>
        </w:rPr>
        <w:t>无。</w:t>
      </w:r>
    </w:p>
    <w:p w14:paraId="39B82556">
      <w:pPr>
        <w:pStyle w:val="5"/>
        <w:rPr>
          <w:rFonts w:hint="eastAsia" w:ascii="宋体" w:hAnsi="宋体" w:cs="宋体"/>
          <w:sz w:val="28"/>
          <w:szCs w:val="28"/>
        </w:rPr>
      </w:pPr>
      <w:r>
        <w:rPr>
          <w:rFonts w:hint="eastAsia" w:ascii="宋体" w:hAnsi="宋体" w:cs="宋体"/>
          <w:sz w:val="28"/>
          <w:szCs w:val="28"/>
        </w:rPr>
        <w:t>九、</w:t>
      </w:r>
      <w:r>
        <w:rPr>
          <w:rFonts w:ascii="Times New Roman" w:hAnsi="Times New Roman"/>
          <w:sz w:val="28"/>
          <w:szCs w:val="28"/>
        </w:rPr>
        <w:t>标准作为强制性或推荐性标准发布的意见</w:t>
      </w:r>
    </w:p>
    <w:p w14:paraId="2E1FD2FF">
      <w:pPr>
        <w:spacing w:line="360" w:lineRule="auto"/>
        <w:ind w:firstLine="480" w:firstLineChars="200"/>
        <w:rPr>
          <w:sz w:val="24"/>
          <w:szCs w:val="24"/>
        </w:rPr>
      </w:pPr>
      <w:r>
        <w:rPr>
          <w:sz w:val="24"/>
          <w:szCs w:val="24"/>
        </w:rPr>
        <w:t>本标准</w:t>
      </w:r>
      <w:r>
        <w:rPr>
          <w:rFonts w:hint="eastAsia"/>
          <w:sz w:val="24"/>
          <w:szCs w:val="24"/>
        </w:rPr>
        <w:t>为首次制定，</w:t>
      </w:r>
      <w:r>
        <w:rPr>
          <w:sz w:val="24"/>
          <w:szCs w:val="24"/>
        </w:rPr>
        <w:t>为推荐性</w:t>
      </w:r>
      <w:r>
        <w:rPr>
          <w:rFonts w:hint="eastAsia"/>
          <w:sz w:val="24"/>
          <w:szCs w:val="24"/>
        </w:rPr>
        <w:t>团体</w:t>
      </w:r>
      <w:r>
        <w:rPr>
          <w:sz w:val="24"/>
          <w:szCs w:val="24"/>
        </w:rPr>
        <w:t>标准。</w:t>
      </w:r>
      <w:r>
        <w:rPr>
          <w:rFonts w:hint="eastAsia"/>
          <w:sz w:val="24"/>
          <w:szCs w:val="24"/>
        </w:rPr>
        <w:t xml:space="preserve"> </w:t>
      </w:r>
    </w:p>
    <w:p w14:paraId="7C2C6143">
      <w:pPr>
        <w:pStyle w:val="5"/>
        <w:rPr>
          <w:rFonts w:hint="eastAsia" w:ascii="宋体" w:hAnsi="宋体" w:cs="宋体"/>
          <w:sz w:val="28"/>
          <w:szCs w:val="28"/>
        </w:rPr>
      </w:pPr>
      <w:r>
        <w:rPr>
          <w:rFonts w:hint="eastAsia" w:ascii="宋体" w:hAnsi="宋体" w:cs="宋体"/>
          <w:sz w:val="28"/>
          <w:szCs w:val="28"/>
        </w:rPr>
        <w:t>十、贯彻标准的要求和措施建议（包括组织措施、技术措施、过渡办法、实施日期等）</w:t>
      </w:r>
    </w:p>
    <w:p w14:paraId="6E581741">
      <w:pPr>
        <w:numPr>
          <w:ilvl w:val="0"/>
          <w:numId w:val="5"/>
        </w:numPr>
        <w:spacing w:line="360" w:lineRule="auto"/>
        <w:rPr>
          <w:sz w:val="24"/>
          <w:szCs w:val="24"/>
        </w:rPr>
      </w:pPr>
      <w:r>
        <w:rPr>
          <w:rFonts w:hint="eastAsia"/>
          <w:sz w:val="24"/>
          <w:szCs w:val="24"/>
        </w:rPr>
        <w:t>组织措施</w:t>
      </w:r>
    </w:p>
    <w:p w14:paraId="708FCD54">
      <w:pPr>
        <w:spacing w:line="360" w:lineRule="auto"/>
        <w:ind w:firstLine="420"/>
        <w:jc w:val="left"/>
        <w:rPr>
          <w:sz w:val="24"/>
          <w:szCs w:val="24"/>
        </w:rPr>
      </w:pPr>
      <w:r>
        <w:rPr>
          <w:rFonts w:hint="eastAsia"/>
          <w:sz w:val="24"/>
          <w:szCs w:val="24"/>
        </w:rPr>
        <w:t>利用信息平台对标准进行推广和宣贯，同时展示试点效果案例；联合有实力的</w:t>
      </w:r>
      <w:r>
        <w:rPr>
          <w:rFonts w:hint="eastAsia"/>
          <w:sz w:val="24"/>
          <w:szCs w:val="24"/>
          <w:lang w:val="en-US" w:eastAsia="zh-CN"/>
        </w:rPr>
        <w:t>电能信息采集终端光纤通信单元</w:t>
      </w:r>
      <w:r>
        <w:rPr>
          <w:rFonts w:hint="eastAsia"/>
          <w:sz w:val="24"/>
          <w:szCs w:val="24"/>
        </w:rPr>
        <w:t>生产厂家，建设试验试点，便于客户实地调研。</w:t>
      </w:r>
    </w:p>
    <w:p w14:paraId="328E591B">
      <w:pPr>
        <w:numPr>
          <w:ilvl w:val="0"/>
          <w:numId w:val="5"/>
        </w:numPr>
        <w:spacing w:line="360" w:lineRule="auto"/>
        <w:rPr>
          <w:sz w:val="24"/>
          <w:szCs w:val="24"/>
        </w:rPr>
      </w:pPr>
      <w:r>
        <w:rPr>
          <w:rFonts w:hint="eastAsia"/>
          <w:sz w:val="24"/>
          <w:szCs w:val="24"/>
        </w:rPr>
        <w:t>技术措施</w:t>
      </w:r>
    </w:p>
    <w:p w14:paraId="1194144C">
      <w:pPr>
        <w:spacing w:line="360" w:lineRule="auto"/>
        <w:ind w:firstLine="420"/>
        <w:jc w:val="left"/>
        <w:rPr>
          <w:rFonts w:hint="eastAsia"/>
          <w:sz w:val="24"/>
          <w:szCs w:val="24"/>
          <w:lang w:val="en-US" w:eastAsia="zh-CN"/>
        </w:rPr>
      </w:pPr>
      <w:r>
        <w:rPr>
          <w:rFonts w:hint="eastAsia"/>
          <w:sz w:val="24"/>
          <w:szCs w:val="24"/>
        </w:rPr>
        <w:t>通过对</w:t>
      </w:r>
      <w:r>
        <w:rPr>
          <w:rFonts w:hint="eastAsia"/>
          <w:sz w:val="24"/>
          <w:szCs w:val="24"/>
          <w:lang w:eastAsia="zh-CN"/>
        </w:rPr>
        <w:t>电能信息采集终端光纤通信单元</w:t>
      </w:r>
      <w:r>
        <w:rPr>
          <w:rFonts w:hint="eastAsia"/>
          <w:sz w:val="24"/>
          <w:szCs w:val="24"/>
          <w:lang w:val="en-US" w:eastAsia="zh-CN"/>
        </w:rPr>
        <w:t>的技术要求、检验方法等进行统一规定，提升产品在行业的质量水平，明确质量管控手段，提升行业整体水平，搭建交互平台，引导各厂商加强技术交流，共同提升电能信息采集终端光纤通信单元技术水平。</w:t>
      </w:r>
    </w:p>
    <w:p w14:paraId="771B6FD1">
      <w:pPr>
        <w:numPr>
          <w:ilvl w:val="0"/>
          <w:numId w:val="0"/>
        </w:numPr>
        <w:spacing w:line="360" w:lineRule="auto"/>
        <w:ind w:leftChars="0"/>
        <w:rPr>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实施日期</w:t>
      </w:r>
    </w:p>
    <w:p w14:paraId="7A854E43">
      <w:pPr>
        <w:spacing w:line="360" w:lineRule="auto"/>
        <w:ind w:firstLine="420"/>
        <w:jc w:val="left"/>
        <w:rPr>
          <w:rFonts w:hint="eastAsia" w:ascii="宋体" w:hAnsi="宋体" w:cs="宋体"/>
          <w:sz w:val="24"/>
          <w:szCs w:val="24"/>
          <w:lang w:val="zh-CN"/>
        </w:rPr>
      </w:pPr>
      <w:r>
        <w:rPr>
          <w:rFonts w:hint="eastAsia"/>
          <w:sz w:val="24"/>
          <w:szCs w:val="24"/>
        </w:rPr>
        <w:t>自标准发布后，及时推广实施。</w:t>
      </w:r>
    </w:p>
    <w:p w14:paraId="66E3D297">
      <w:pPr>
        <w:pStyle w:val="5"/>
        <w:rPr>
          <w:rFonts w:hint="eastAsia" w:ascii="宋体" w:hAnsi="宋体" w:cs="宋体"/>
          <w:sz w:val="28"/>
          <w:szCs w:val="28"/>
        </w:rPr>
      </w:pPr>
      <w:r>
        <w:rPr>
          <w:rFonts w:hint="eastAsia" w:ascii="宋体" w:hAnsi="宋体" w:cs="宋体"/>
          <w:sz w:val="28"/>
          <w:szCs w:val="28"/>
        </w:rPr>
        <w:t>十一、废止现行相关标准的建议</w:t>
      </w:r>
    </w:p>
    <w:p w14:paraId="11E3650B">
      <w:pPr>
        <w:spacing w:line="600" w:lineRule="exact"/>
        <w:ind w:firstLine="480" w:firstLineChars="200"/>
        <w:rPr>
          <w:rFonts w:hint="eastAsia" w:ascii="黑体" w:hAnsi="黑体" w:eastAsia="黑体" w:cs="黑体"/>
          <w:b/>
          <w:bCs/>
          <w:sz w:val="24"/>
          <w:szCs w:val="24"/>
        </w:rPr>
      </w:pPr>
      <w:r>
        <w:rPr>
          <w:rFonts w:hint="eastAsia" w:ascii="宋体" w:hAnsi="宋体" w:cs="宋体"/>
          <w:sz w:val="24"/>
          <w:szCs w:val="24"/>
        </w:rPr>
        <w:t>无。</w:t>
      </w:r>
    </w:p>
    <w:p w14:paraId="33421406">
      <w:pPr>
        <w:pStyle w:val="5"/>
        <w:rPr>
          <w:rFonts w:hint="eastAsia" w:ascii="宋体" w:hAnsi="宋体" w:cs="宋体"/>
          <w:sz w:val="28"/>
          <w:szCs w:val="28"/>
          <w:lang w:val="zh-CN"/>
        </w:rPr>
      </w:pPr>
      <w:r>
        <w:rPr>
          <w:rFonts w:hint="eastAsia" w:ascii="宋体" w:hAnsi="宋体" w:cs="宋体"/>
          <w:sz w:val="28"/>
          <w:szCs w:val="28"/>
        </w:rPr>
        <w:t>十二、</w:t>
      </w:r>
      <w:r>
        <w:rPr>
          <w:rFonts w:hint="eastAsia" w:ascii="宋体" w:hAnsi="宋体" w:cs="宋体"/>
          <w:sz w:val="28"/>
          <w:szCs w:val="28"/>
          <w:lang w:val="zh-CN"/>
        </w:rPr>
        <w:t>其他予以说明的事项</w:t>
      </w:r>
    </w:p>
    <w:p w14:paraId="7CD890A3">
      <w:pPr>
        <w:spacing w:line="360" w:lineRule="auto"/>
        <w:ind w:firstLine="480" w:firstLineChars="20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在2025年7月召开的第一次工作组会议上，经工作组成员讨论，一致同意将项目名称由“终端集中器光纤通信单元”改为“电能信息采集终端光纤通信单元”。</w:t>
      </w:r>
    </w:p>
    <w:p w14:paraId="01B27E39">
      <w:pPr>
        <w:spacing w:line="360" w:lineRule="auto"/>
        <w:ind w:firstLine="480" w:firstLineChars="200"/>
        <w:rPr>
          <w:rFonts w:hint="eastAsia" w:ascii="宋体" w:hAnsi="宋体" w:cs="宋体"/>
          <w:sz w:val="24"/>
          <w:szCs w:val="24"/>
        </w:rPr>
      </w:pPr>
    </w:p>
    <w:sectPr>
      <w:headerReference r:id="rId3" w:type="default"/>
      <w:footerReference r:id="rId4" w:type="default"/>
      <w:pgSz w:w="11906" w:h="16838"/>
      <w:pgMar w:top="1440" w:right="1800" w:bottom="1440" w:left="1800" w:header="851" w:footer="992" w:gutter="0"/>
      <w:pgNumType w:start="1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1FDB9">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17E10E4">
                          <w:pPr>
                            <w:pStyle w:val="11"/>
                            <w:jc w:val="center"/>
                          </w:pPr>
                          <w:r>
                            <w:fldChar w:fldCharType="begin"/>
                          </w:r>
                          <w:r>
                            <w:instrText xml:space="preserve">PAGE   \* MERGEFORMAT</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517E10E4">
                    <w:pPr>
                      <w:pStyle w:val="11"/>
                      <w:jc w:val="center"/>
                    </w:pPr>
                    <w:r>
                      <w:fldChar w:fldCharType="begin"/>
                    </w:r>
                    <w:r>
                      <w:instrText xml:space="preserve">PAGE   \* MERGEFORMAT</w:instrText>
                    </w:r>
                    <w:r>
                      <w:fldChar w:fldCharType="separate"/>
                    </w:r>
                    <w:r>
                      <w:t>17</w:t>
                    </w:r>
                    <w:r>
                      <w:fldChar w:fldCharType="end"/>
                    </w:r>
                  </w:p>
                </w:txbxContent>
              </v:textbox>
            </v:shape>
          </w:pict>
        </mc:Fallback>
      </mc:AlternateContent>
    </w:r>
  </w:p>
  <w:p w14:paraId="093E069C">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20887">
    <w:pPr>
      <w:pStyle w:val="12"/>
      <w:pBdr>
        <w:bottom w:val="none" w:color="auto" w:sz="0" w:space="1"/>
      </w:pBdr>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5917C3"/>
    <w:multiLevelType w:val="multilevel"/>
    <w:tmpl w:val="2C5917C3"/>
    <w:lvl w:ilvl="0" w:tentative="0">
      <w:start w:val="1"/>
      <w:numFmt w:val="none"/>
      <w:pStyle w:val="5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56"/>
      <w:lvlText w:val=""/>
      <w:lvlJc w:val="left"/>
      <w:pPr>
        <w:ind w:left="851" w:hanging="431"/>
      </w:pPr>
      <w:rPr>
        <w:rFonts w:hint="default" w:ascii="Symbol" w:hAnsi="Symbol"/>
        <w:sz w:val="21"/>
      </w:rPr>
    </w:lvl>
    <w:lvl w:ilvl="2" w:tentative="0">
      <w:start w:val="1"/>
      <w:numFmt w:val="bullet"/>
      <w:pStyle w:val="5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
    <w:nsid w:val="44C50F90"/>
    <w:multiLevelType w:val="multilevel"/>
    <w:tmpl w:val="44C50F90"/>
    <w:lvl w:ilvl="0" w:tentative="0">
      <w:start w:val="1"/>
      <w:numFmt w:val="lowerLetter"/>
      <w:pStyle w:val="29"/>
      <w:lvlText w:val="%1)"/>
      <w:lvlJc w:val="left"/>
      <w:pPr>
        <w:tabs>
          <w:tab w:val="left" w:pos="851"/>
        </w:tabs>
        <w:ind w:left="851" w:hanging="426"/>
      </w:pPr>
      <w:rPr>
        <w:rFonts w:hint="eastAsia" w:ascii="宋体" w:hAnsi="Times New Roman" w:eastAsia="宋体"/>
        <w:sz w:val="21"/>
      </w:rPr>
    </w:lvl>
    <w:lvl w:ilvl="1" w:tentative="0">
      <w:start w:val="1"/>
      <w:numFmt w:val="decimal"/>
      <w:pStyle w:val="30"/>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4EFB4222"/>
    <w:multiLevelType w:val="multilevel"/>
    <w:tmpl w:val="4EFB4222"/>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2617711"/>
    <w:multiLevelType w:val="multilevel"/>
    <w:tmpl w:val="62617711"/>
    <w:lvl w:ilvl="0" w:tentative="0">
      <w:start w:val="1"/>
      <w:numFmt w:val="decimal"/>
      <w:lvlText w:val="（%1）"/>
      <w:lvlJc w:val="left"/>
      <w:pPr>
        <w:ind w:left="720" w:hanging="720"/>
      </w:pPr>
      <w:rPr>
        <w:rFonts w:hint="default" w:ascii="宋体" w:hAnsi="宋体" w:eastAsia="宋体" w:cs="宋体"/>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31"/>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jNjhlNjYwMjZjY2Q4ZGMxNzM5MTNmOTE2ZDE0OWMifQ=="/>
    <w:docVar w:name="KSO_WPS_MARK_KEY" w:val="f83aae6b-3ffe-4100-8e6d-5fd969f7b8de"/>
  </w:docVars>
  <w:rsids>
    <w:rsidRoot w:val="00172A27"/>
    <w:rsid w:val="000125B6"/>
    <w:rsid w:val="00021860"/>
    <w:rsid w:val="00021AD1"/>
    <w:rsid w:val="00023888"/>
    <w:rsid w:val="00026950"/>
    <w:rsid w:val="00026A6A"/>
    <w:rsid w:val="000327DB"/>
    <w:rsid w:val="00032CEB"/>
    <w:rsid w:val="000342AE"/>
    <w:rsid w:val="00035ABD"/>
    <w:rsid w:val="00035D6A"/>
    <w:rsid w:val="00041DA0"/>
    <w:rsid w:val="00043280"/>
    <w:rsid w:val="000445C2"/>
    <w:rsid w:val="00044EBD"/>
    <w:rsid w:val="00053DD0"/>
    <w:rsid w:val="00056E08"/>
    <w:rsid w:val="00060C0C"/>
    <w:rsid w:val="00062060"/>
    <w:rsid w:val="00066F63"/>
    <w:rsid w:val="0007004A"/>
    <w:rsid w:val="00072A01"/>
    <w:rsid w:val="000746BA"/>
    <w:rsid w:val="00076F33"/>
    <w:rsid w:val="0008153B"/>
    <w:rsid w:val="00091438"/>
    <w:rsid w:val="000929A1"/>
    <w:rsid w:val="00096551"/>
    <w:rsid w:val="00097BE9"/>
    <w:rsid w:val="000A0560"/>
    <w:rsid w:val="000A324F"/>
    <w:rsid w:val="000A5521"/>
    <w:rsid w:val="000A7B60"/>
    <w:rsid w:val="000B0CCB"/>
    <w:rsid w:val="000B237C"/>
    <w:rsid w:val="000C3349"/>
    <w:rsid w:val="000C6A2D"/>
    <w:rsid w:val="000D17D0"/>
    <w:rsid w:val="000D4836"/>
    <w:rsid w:val="000D4CE1"/>
    <w:rsid w:val="000D7AD7"/>
    <w:rsid w:val="000E047B"/>
    <w:rsid w:val="000E2158"/>
    <w:rsid w:val="000E3D6A"/>
    <w:rsid w:val="000F45BA"/>
    <w:rsid w:val="000F6655"/>
    <w:rsid w:val="000F7267"/>
    <w:rsid w:val="001037D6"/>
    <w:rsid w:val="0010704E"/>
    <w:rsid w:val="0012193A"/>
    <w:rsid w:val="00122513"/>
    <w:rsid w:val="00125B6E"/>
    <w:rsid w:val="0012743C"/>
    <w:rsid w:val="00131C05"/>
    <w:rsid w:val="00131DC1"/>
    <w:rsid w:val="001327F4"/>
    <w:rsid w:val="001344EB"/>
    <w:rsid w:val="0013476B"/>
    <w:rsid w:val="00140FB8"/>
    <w:rsid w:val="00141B98"/>
    <w:rsid w:val="00144135"/>
    <w:rsid w:val="001446ED"/>
    <w:rsid w:val="00146633"/>
    <w:rsid w:val="00146EDD"/>
    <w:rsid w:val="00161356"/>
    <w:rsid w:val="00163CEC"/>
    <w:rsid w:val="00165275"/>
    <w:rsid w:val="00165C0F"/>
    <w:rsid w:val="00172A27"/>
    <w:rsid w:val="00183189"/>
    <w:rsid w:val="00184D4C"/>
    <w:rsid w:val="00185030"/>
    <w:rsid w:val="00187113"/>
    <w:rsid w:val="00192421"/>
    <w:rsid w:val="00192C8B"/>
    <w:rsid w:val="00194207"/>
    <w:rsid w:val="001A507A"/>
    <w:rsid w:val="001B48DD"/>
    <w:rsid w:val="001B4E14"/>
    <w:rsid w:val="001C3ED8"/>
    <w:rsid w:val="001C5231"/>
    <w:rsid w:val="001C529B"/>
    <w:rsid w:val="001C55ED"/>
    <w:rsid w:val="001D038D"/>
    <w:rsid w:val="001D429B"/>
    <w:rsid w:val="001F5B4B"/>
    <w:rsid w:val="001F7207"/>
    <w:rsid w:val="001F7AB4"/>
    <w:rsid w:val="002004B4"/>
    <w:rsid w:val="002004D0"/>
    <w:rsid w:val="00201353"/>
    <w:rsid w:val="00206A66"/>
    <w:rsid w:val="00210C5F"/>
    <w:rsid w:val="0021351B"/>
    <w:rsid w:val="002145BD"/>
    <w:rsid w:val="00221BDC"/>
    <w:rsid w:val="00222D26"/>
    <w:rsid w:val="0022331D"/>
    <w:rsid w:val="002240ED"/>
    <w:rsid w:val="00224108"/>
    <w:rsid w:val="00243479"/>
    <w:rsid w:val="00247BF2"/>
    <w:rsid w:val="00253164"/>
    <w:rsid w:val="002542CE"/>
    <w:rsid w:val="002566F9"/>
    <w:rsid w:val="002640AF"/>
    <w:rsid w:val="0026529F"/>
    <w:rsid w:val="00284D65"/>
    <w:rsid w:val="00284FBA"/>
    <w:rsid w:val="00285508"/>
    <w:rsid w:val="002864C4"/>
    <w:rsid w:val="00292180"/>
    <w:rsid w:val="00292CDB"/>
    <w:rsid w:val="00293FB6"/>
    <w:rsid w:val="00294CF4"/>
    <w:rsid w:val="002A3B58"/>
    <w:rsid w:val="002A484B"/>
    <w:rsid w:val="002A54BF"/>
    <w:rsid w:val="002A6CD7"/>
    <w:rsid w:val="002B4C66"/>
    <w:rsid w:val="002C464D"/>
    <w:rsid w:val="002C4E91"/>
    <w:rsid w:val="002C769C"/>
    <w:rsid w:val="002D6F90"/>
    <w:rsid w:val="002E1527"/>
    <w:rsid w:val="002E1DAF"/>
    <w:rsid w:val="002E2F23"/>
    <w:rsid w:val="002E4328"/>
    <w:rsid w:val="002E7852"/>
    <w:rsid w:val="002E7D2D"/>
    <w:rsid w:val="002F02C5"/>
    <w:rsid w:val="002F3DF7"/>
    <w:rsid w:val="002F7CA0"/>
    <w:rsid w:val="0030109E"/>
    <w:rsid w:val="00307E6D"/>
    <w:rsid w:val="00310AD6"/>
    <w:rsid w:val="00311B24"/>
    <w:rsid w:val="00312657"/>
    <w:rsid w:val="00316AEB"/>
    <w:rsid w:val="00317C9F"/>
    <w:rsid w:val="003337BB"/>
    <w:rsid w:val="0034542C"/>
    <w:rsid w:val="00345489"/>
    <w:rsid w:val="00351087"/>
    <w:rsid w:val="003604FE"/>
    <w:rsid w:val="00360D66"/>
    <w:rsid w:val="00370511"/>
    <w:rsid w:val="00371A8E"/>
    <w:rsid w:val="0037225A"/>
    <w:rsid w:val="003736A6"/>
    <w:rsid w:val="0037507B"/>
    <w:rsid w:val="00380C6C"/>
    <w:rsid w:val="003817FA"/>
    <w:rsid w:val="00381AA0"/>
    <w:rsid w:val="003823C7"/>
    <w:rsid w:val="003857F8"/>
    <w:rsid w:val="003A084F"/>
    <w:rsid w:val="003A1A73"/>
    <w:rsid w:val="003A2E44"/>
    <w:rsid w:val="003A6136"/>
    <w:rsid w:val="003B0E59"/>
    <w:rsid w:val="003B1AE2"/>
    <w:rsid w:val="003B2A77"/>
    <w:rsid w:val="003B5A86"/>
    <w:rsid w:val="003C273A"/>
    <w:rsid w:val="003D2704"/>
    <w:rsid w:val="003D40C4"/>
    <w:rsid w:val="003D52D5"/>
    <w:rsid w:val="003D587D"/>
    <w:rsid w:val="003D759D"/>
    <w:rsid w:val="003E1031"/>
    <w:rsid w:val="003E1F03"/>
    <w:rsid w:val="003E7257"/>
    <w:rsid w:val="003F2FED"/>
    <w:rsid w:val="003F5A3A"/>
    <w:rsid w:val="004001EF"/>
    <w:rsid w:val="00411CCA"/>
    <w:rsid w:val="0042301F"/>
    <w:rsid w:val="00426380"/>
    <w:rsid w:val="00426D41"/>
    <w:rsid w:val="00433F0D"/>
    <w:rsid w:val="00453CFD"/>
    <w:rsid w:val="00454DED"/>
    <w:rsid w:val="0046366A"/>
    <w:rsid w:val="004713C4"/>
    <w:rsid w:val="00472477"/>
    <w:rsid w:val="00473EC6"/>
    <w:rsid w:val="004749C7"/>
    <w:rsid w:val="004767FA"/>
    <w:rsid w:val="00477234"/>
    <w:rsid w:val="00491AAF"/>
    <w:rsid w:val="00494341"/>
    <w:rsid w:val="00495729"/>
    <w:rsid w:val="004958A9"/>
    <w:rsid w:val="004A6DC6"/>
    <w:rsid w:val="004A6EA7"/>
    <w:rsid w:val="004B0C8E"/>
    <w:rsid w:val="004B42FD"/>
    <w:rsid w:val="004C0182"/>
    <w:rsid w:val="004D035F"/>
    <w:rsid w:val="004D0B86"/>
    <w:rsid w:val="004D25D8"/>
    <w:rsid w:val="004D6719"/>
    <w:rsid w:val="004D720A"/>
    <w:rsid w:val="004D739A"/>
    <w:rsid w:val="004E142A"/>
    <w:rsid w:val="004E296E"/>
    <w:rsid w:val="004E5B62"/>
    <w:rsid w:val="004F3038"/>
    <w:rsid w:val="004F38AA"/>
    <w:rsid w:val="004F4828"/>
    <w:rsid w:val="004F77A2"/>
    <w:rsid w:val="004F7B35"/>
    <w:rsid w:val="005023D2"/>
    <w:rsid w:val="00504D78"/>
    <w:rsid w:val="005138EF"/>
    <w:rsid w:val="00514919"/>
    <w:rsid w:val="00521771"/>
    <w:rsid w:val="00523E2C"/>
    <w:rsid w:val="0052574F"/>
    <w:rsid w:val="0053279D"/>
    <w:rsid w:val="00532BD6"/>
    <w:rsid w:val="0053420F"/>
    <w:rsid w:val="0053441F"/>
    <w:rsid w:val="00537DFF"/>
    <w:rsid w:val="0054263F"/>
    <w:rsid w:val="005453CA"/>
    <w:rsid w:val="00547862"/>
    <w:rsid w:val="0055021C"/>
    <w:rsid w:val="005517EF"/>
    <w:rsid w:val="00551D13"/>
    <w:rsid w:val="0055341B"/>
    <w:rsid w:val="00554865"/>
    <w:rsid w:val="00560931"/>
    <w:rsid w:val="00576B8F"/>
    <w:rsid w:val="00580A71"/>
    <w:rsid w:val="00581791"/>
    <w:rsid w:val="00582A51"/>
    <w:rsid w:val="00596C29"/>
    <w:rsid w:val="005A0A0F"/>
    <w:rsid w:val="005A7101"/>
    <w:rsid w:val="005B04B9"/>
    <w:rsid w:val="005D3277"/>
    <w:rsid w:val="005D6FD2"/>
    <w:rsid w:val="005E1501"/>
    <w:rsid w:val="005E3C02"/>
    <w:rsid w:val="005F1579"/>
    <w:rsid w:val="005F2E08"/>
    <w:rsid w:val="005F3D32"/>
    <w:rsid w:val="005F79C2"/>
    <w:rsid w:val="00601078"/>
    <w:rsid w:val="006079EC"/>
    <w:rsid w:val="00607AF6"/>
    <w:rsid w:val="00612AE7"/>
    <w:rsid w:val="00626C4F"/>
    <w:rsid w:val="00634184"/>
    <w:rsid w:val="006360CF"/>
    <w:rsid w:val="00642FCC"/>
    <w:rsid w:val="00647254"/>
    <w:rsid w:val="00651C1B"/>
    <w:rsid w:val="00656F8B"/>
    <w:rsid w:val="00657FF9"/>
    <w:rsid w:val="00670EC7"/>
    <w:rsid w:val="0067132A"/>
    <w:rsid w:val="006771EB"/>
    <w:rsid w:val="0068048B"/>
    <w:rsid w:val="00682E1C"/>
    <w:rsid w:val="00685DCF"/>
    <w:rsid w:val="00686FDF"/>
    <w:rsid w:val="00695CAA"/>
    <w:rsid w:val="006A04BC"/>
    <w:rsid w:val="006B265E"/>
    <w:rsid w:val="006B381F"/>
    <w:rsid w:val="006B3A9B"/>
    <w:rsid w:val="006B52BF"/>
    <w:rsid w:val="006C06FD"/>
    <w:rsid w:val="006D27CF"/>
    <w:rsid w:val="006E04C4"/>
    <w:rsid w:val="006E6D06"/>
    <w:rsid w:val="006E70A6"/>
    <w:rsid w:val="006F28A2"/>
    <w:rsid w:val="0070016D"/>
    <w:rsid w:val="007030BB"/>
    <w:rsid w:val="0070440D"/>
    <w:rsid w:val="007062C6"/>
    <w:rsid w:val="007109C3"/>
    <w:rsid w:val="00713107"/>
    <w:rsid w:val="00717E52"/>
    <w:rsid w:val="007201B7"/>
    <w:rsid w:val="00721E6D"/>
    <w:rsid w:val="00723AA4"/>
    <w:rsid w:val="00731B96"/>
    <w:rsid w:val="007320F6"/>
    <w:rsid w:val="00733DA6"/>
    <w:rsid w:val="00735D69"/>
    <w:rsid w:val="0074014F"/>
    <w:rsid w:val="00740307"/>
    <w:rsid w:val="00741613"/>
    <w:rsid w:val="00745C76"/>
    <w:rsid w:val="0074675C"/>
    <w:rsid w:val="00750481"/>
    <w:rsid w:val="00752B3F"/>
    <w:rsid w:val="007638AD"/>
    <w:rsid w:val="00763D37"/>
    <w:rsid w:val="00775364"/>
    <w:rsid w:val="00781EEC"/>
    <w:rsid w:val="007828F5"/>
    <w:rsid w:val="00782CFC"/>
    <w:rsid w:val="00783699"/>
    <w:rsid w:val="0078594F"/>
    <w:rsid w:val="00792363"/>
    <w:rsid w:val="007932EA"/>
    <w:rsid w:val="007A0FB8"/>
    <w:rsid w:val="007A282E"/>
    <w:rsid w:val="007A2B66"/>
    <w:rsid w:val="007A39E9"/>
    <w:rsid w:val="007B1CD0"/>
    <w:rsid w:val="007B25F6"/>
    <w:rsid w:val="007B6B4B"/>
    <w:rsid w:val="007B75E0"/>
    <w:rsid w:val="007C4269"/>
    <w:rsid w:val="007C53A8"/>
    <w:rsid w:val="007D1C38"/>
    <w:rsid w:val="007D3FB3"/>
    <w:rsid w:val="007D4263"/>
    <w:rsid w:val="007D5CA9"/>
    <w:rsid w:val="007D773A"/>
    <w:rsid w:val="007E6051"/>
    <w:rsid w:val="007F37E2"/>
    <w:rsid w:val="007F438C"/>
    <w:rsid w:val="007F5B2B"/>
    <w:rsid w:val="007F5D9E"/>
    <w:rsid w:val="007F5EAD"/>
    <w:rsid w:val="00800EB7"/>
    <w:rsid w:val="00802B9D"/>
    <w:rsid w:val="00805DEA"/>
    <w:rsid w:val="00807BC7"/>
    <w:rsid w:val="00813009"/>
    <w:rsid w:val="0081723B"/>
    <w:rsid w:val="00820685"/>
    <w:rsid w:val="008233DC"/>
    <w:rsid w:val="008261D3"/>
    <w:rsid w:val="008265AF"/>
    <w:rsid w:val="0083569C"/>
    <w:rsid w:val="00840377"/>
    <w:rsid w:val="0084637E"/>
    <w:rsid w:val="0085109D"/>
    <w:rsid w:val="00854927"/>
    <w:rsid w:val="008652F1"/>
    <w:rsid w:val="0086684A"/>
    <w:rsid w:val="00873BC0"/>
    <w:rsid w:val="008A1B7C"/>
    <w:rsid w:val="008A3610"/>
    <w:rsid w:val="008A456D"/>
    <w:rsid w:val="008A63ED"/>
    <w:rsid w:val="008B5D3C"/>
    <w:rsid w:val="008B6F36"/>
    <w:rsid w:val="008C029E"/>
    <w:rsid w:val="008C2741"/>
    <w:rsid w:val="008D437C"/>
    <w:rsid w:val="008D51C7"/>
    <w:rsid w:val="008E070A"/>
    <w:rsid w:val="008E267F"/>
    <w:rsid w:val="008F1A3F"/>
    <w:rsid w:val="008F619D"/>
    <w:rsid w:val="008F7405"/>
    <w:rsid w:val="0090391A"/>
    <w:rsid w:val="00904D19"/>
    <w:rsid w:val="0091049B"/>
    <w:rsid w:val="009116EB"/>
    <w:rsid w:val="00911E72"/>
    <w:rsid w:val="009123EA"/>
    <w:rsid w:val="00915B37"/>
    <w:rsid w:val="00916365"/>
    <w:rsid w:val="009303E4"/>
    <w:rsid w:val="0094073D"/>
    <w:rsid w:val="009424A4"/>
    <w:rsid w:val="00950997"/>
    <w:rsid w:val="00951150"/>
    <w:rsid w:val="00952E56"/>
    <w:rsid w:val="00953C26"/>
    <w:rsid w:val="00960251"/>
    <w:rsid w:val="0096265C"/>
    <w:rsid w:val="009649D1"/>
    <w:rsid w:val="00971FFA"/>
    <w:rsid w:val="009729E2"/>
    <w:rsid w:val="00980CC7"/>
    <w:rsid w:val="00983CE9"/>
    <w:rsid w:val="009909D4"/>
    <w:rsid w:val="00990DAB"/>
    <w:rsid w:val="009910D3"/>
    <w:rsid w:val="00997646"/>
    <w:rsid w:val="009A0D8B"/>
    <w:rsid w:val="009C722F"/>
    <w:rsid w:val="009D2006"/>
    <w:rsid w:val="009D2B32"/>
    <w:rsid w:val="009D5316"/>
    <w:rsid w:val="009D539D"/>
    <w:rsid w:val="009D5E09"/>
    <w:rsid w:val="009D659E"/>
    <w:rsid w:val="009E3906"/>
    <w:rsid w:val="009E3D3C"/>
    <w:rsid w:val="009E541C"/>
    <w:rsid w:val="009F2FFA"/>
    <w:rsid w:val="009F4E4B"/>
    <w:rsid w:val="009F525D"/>
    <w:rsid w:val="009F538F"/>
    <w:rsid w:val="009F6FB3"/>
    <w:rsid w:val="00A00A02"/>
    <w:rsid w:val="00A10C43"/>
    <w:rsid w:val="00A12A04"/>
    <w:rsid w:val="00A141D8"/>
    <w:rsid w:val="00A218BA"/>
    <w:rsid w:val="00A37F32"/>
    <w:rsid w:val="00A43FDA"/>
    <w:rsid w:val="00A45735"/>
    <w:rsid w:val="00A50671"/>
    <w:rsid w:val="00A5255D"/>
    <w:rsid w:val="00A55416"/>
    <w:rsid w:val="00A56DA5"/>
    <w:rsid w:val="00A577E2"/>
    <w:rsid w:val="00A62621"/>
    <w:rsid w:val="00A65029"/>
    <w:rsid w:val="00A73B4E"/>
    <w:rsid w:val="00A76F83"/>
    <w:rsid w:val="00A854F6"/>
    <w:rsid w:val="00A855B9"/>
    <w:rsid w:val="00A857A0"/>
    <w:rsid w:val="00A85811"/>
    <w:rsid w:val="00A86F9C"/>
    <w:rsid w:val="00A9200B"/>
    <w:rsid w:val="00A9442A"/>
    <w:rsid w:val="00AA02D0"/>
    <w:rsid w:val="00AA1F60"/>
    <w:rsid w:val="00AA53C6"/>
    <w:rsid w:val="00AA624C"/>
    <w:rsid w:val="00AB29A6"/>
    <w:rsid w:val="00AC1523"/>
    <w:rsid w:val="00AC2090"/>
    <w:rsid w:val="00AC2761"/>
    <w:rsid w:val="00AD128C"/>
    <w:rsid w:val="00AD27B1"/>
    <w:rsid w:val="00AD3B06"/>
    <w:rsid w:val="00AF29E8"/>
    <w:rsid w:val="00AF2FC0"/>
    <w:rsid w:val="00B036F4"/>
    <w:rsid w:val="00B03E6A"/>
    <w:rsid w:val="00B03F35"/>
    <w:rsid w:val="00B0432B"/>
    <w:rsid w:val="00B04431"/>
    <w:rsid w:val="00B05335"/>
    <w:rsid w:val="00B0590E"/>
    <w:rsid w:val="00B07968"/>
    <w:rsid w:val="00B128AE"/>
    <w:rsid w:val="00B223D8"/>
    <w:rsid w:val="00B227F6"/>
    <w:rsid w:val="00B242D1"/>
    <w:rsid w:val="00B363A1"/>
    <w:rsid w:val="00B41816"/>
    <w:rsid w:val="00B44071"/>
    <w:rsid w:val="00B5376B"/>
    <w:rsid w:val="00B70AD5"/>
    <w:rsid w:val="00B710A0"/>
    <w:rsid w:val="00B747DA"/>
    <w:rsid w:val="00B94948"/>
    <w:rsid w:val="00B957CC"/>
    <w:rsid w:val="00B9776E"/>
    <w:rsid w:val="00BA1248"/>
    <w:rsid w:val="00BB06B4"/>
    <w:rsid w:val="00BB392C"/>
    <w:rsid w:val="00BB5750"/>
    <w:rsid w:val="00BC2A58"/>
    <w:rsid w:val="00BC463B"/>
    <w:rsid w:val="00BC4820"/>
    <w:rsid w:val="00BD18FB"/>
    <w:rsid w:val="00BD2A6B"/>
    <w:rsid w:val="00BE01BA"/>
    <w:rsid w:val="00BF3D86"/>
    <w:rsid w:val="00C02B99"/>
    <w:rsid w:val="00C0632E"/>
    <w:rsid w:val="00C0676C"/>
    <w:rsid w:val="00C06773"/>
    <w:rsid w:val="00C07FD7"/>
    <w:rsid w:val="00C177DD"/>
    <w:rsid w:val="00C24F5C"/>
    <w:rsid w:val="00C26DC1"/>
    <w:rsid w:val="00C27F6A"/>
    <w:rsid w:val="00C301FE"/>
    <w:rsid w:val="00C303B6"/>
    <w:rsid w:val="00C35947"/>
    <w:rsid w:val="00C35B2E"/>
    <w:rsid w:val="00C35DF7"/>
    <w:rsid w:val="00C43FDE"/>
    <w:rsid w:val="00C63018"/>
    <w:rsid w:val="00C63B25"/>
    <w:rsid w:val="00C6755F"/>
    <w:rsid w:val="00C70BED"/>
    <w:rsid w:val="00C73B1D"/>
    <w:rsid w:val="00C76244"/>
    <w:rsid w:val="00C82E2D"/>
    <w:rsid w:val="00C85261"/>
    <w:rsid w:val="00C85867"/>
    <w:rsid w:val="00C868DF"/>
    <w:rsid w:val="00C86EDF"/>
    <w:rsid w:val="00C9187F"/>
    <w:rsid w:val="00C92C9B"/>
    <w:rsid w:val="00C92EB5"/>
    <w:rsid w:val="00CA1B03"/>
    <w:rsid w:val="00CA3714"/>
    <w:rsid w:val="00CA6EBE"/>
    <w:rsid w:val="00CB4776"/>
    <w:rsid w:val="00CB51B9"/>
    <w:rsid w:val="00CC7860"/>
    <w:rsid w:val="00CD43CB"/>
    <w:rsid w:val="00CD6C9A"/>
    <w:rsid w:val="00CF074D"/>
    <w:rsid w:val="00CF5406"/>
    <w:rsid w:val="00D108F4"/>
    <w:rsid w:val="00D112EF"/>
    <w:rsid w:val="00D12606"/>
    <w:rsid w:val="00D17521"/>
    <w:rsid w:val="00D200D6"/>
    <w:rsid w:val="00D20E90"/>
    <w:rsid w:val="00D23634"/>
    <w:rsid w:val="00D24E58"/>
    <w:rsid w:val="00D45ECB"/>
    <w:rsid w:val="00D506CE"/>
    <w:rsid w:val="00D572E1"/>
    <w:rsid w:val="00D60FC9"/>
    <w:rsid w:val="00D6278C"/>
    <w:rsid w:val="00D7033C"/>
    <w:rsid w:val="00D84706"/>
    <w:rsid w:val="00D85F2C"/>
    <w:rsid w:val="00D90933"/>
    <w:rsid w:val="00D92C2F"/>
    <w:rsid w:val="00DA5CB6"/>
    <w:rsid w:val="00DB0013"/>
    <w:rsid w:val="00DB3454"/>
    <w:rsid w:val="00DC1075"/>
    <w:rsid w:val="00DC194F"/>
    <w:rsid w:val="00DC3630"/>
    <w:rsid w:val="00DD718B"/>
    <w:rsid w:val="00DD7EBE"/>
    <w:rsid w:val="00DE0F15"/>
    <w:rsid w:val="00DE2825"/>
    <w:rsid w:val="00DF5125"/>
    <w:rsid w:val="00DF6A53"/>
    <w:rsid w:val="00DF6A54"/>
    <w:rsid w:val="00E00C17"/>
    <w:rsid w:val="00E025A9"/>
    <w:rsid w:val="00E07DFE"/>
    <w:rsid w:val="00E11A6F"/>
    <w:rsid w:val="00E166E6"/>
    <w:rsid w:val="00E1672C"/>
    <w:rsid w:val="00E2545F"/>
    <w:rsid w:val="00E4272F"/>
    <w:rsid w:val="00E42B81"/>
    <w:rsid w:val="00E47E34"/>
    <w:rsid w:val="00E50118"/>
    <w:rsid w:val="00E50F9B"/>
    <w:rsid w:val="00E51DED"/>
    <w:rsid w:val="00E56F40"/>
    <w:rsid w:val="00E60880"/>
    <w:rsid w:val="00E62770"/>
    <w:rsid w:val="00E72BD3"/>
    <w:rsid w:val="00E74BFC"/>
    <w:rsid w:val="00E75D8B"/>
    <w:rsid w:val="00E769BD"/>
    <w:rsid w:val="00E77999"/>
    <w:rsid w:val="00E77B8E"/>
    <w:rsid w:val="00E85B34"/>
    <w:rsid w:val="00E95999"/>
    <w:rsid w:val="00EA4114"/>
    <w:rsid w:val="00EA6F87"/>
    <w:rsid w:val="00EA7644"/>
    <w:rsid w:val="00EB1602"/>
    <w:rsid w:val="00EB46D7"/>
    <w:rsid w:val="00EB5D52"/>
    <w:rsid w:val="00EC5B9D"/>
    <w:rsid w:val="00ED1700"/>
    <w:rsid w:val="00ED545D"/>
    <w:rsid w:val="00EE0B00"/>
    <w:rsid w:val="00F04D7C"/>
    <w:rsid w:val="00F1078D"/>
    <w:rsid w:val="00F3640C"/>
    <w:rsid w:val="00F3754A"/>
    <w:rsid w:val="00F46547"/>
    <w:rsid w:val="00F5148D"/>
    <w:rsid w:val="00F51C56"/>
    <w:rsid w:val="00F52715"/>
    <w:rsid w:val="00F61FAD"/>
    <w:rsid w:val="00F63D13"/>
    <w:rsid w:val="00F64A7B"/>
    <w:rsid w:val="00F77A82"/>
    <w:rsid w:val="00F842D4"/>
    <w:rsid w:val="00F9244E"/>
    <w:rsid w:val="00F937EE"/>
    <w:rsid w:val="00F96C35"/>
    <w:rsid w:val="00F97948"/>
    <w:rsid w:val="00FA30B0"/>
    <w:rsid w:val="00FA47A4"/>
    <w:rsid w:val="00FB4480"/>
    <w:rsid w:val="00FB7F66"/>
    <w:rsid w:val="00FC7938"/>
    <w:rsid w:val="00FD0271"/>
    <w:rsid w:val="00FD4FE4"/>
    <w:rsid w:val="00FE3DBE"/>
    <w:rsid w:val="00FE67DF"/>
    <w:rsid w:val="00FF1806"/>
    <w:rsid w:val="00FF4757"/>
    <w:rsid w:val="00FF5E2B"/>
    <w:rsid w:val="00FF60E8"/>
    <w:rsid w:val="00FF62BF"/>
    <w:rsid w:val="01025A37"/>
    <w:rsid w:val="015D78C2"/>
    <w:rsid w:val="01C45500"/>
    <w:rsid w:val="01F8525A"/>
    <w:rsid w:val="025A548B"/>
    <w:rsid w:val="0267744B"/>
    <w:rsid w:val="032B7CCC"/>
    <w:rsid w:val="0378063E"/>
    <w:rsid w:val="03E9077F"/>
    <w:rsid w:val="03EA2651"/>
    <w:rsid w:val="03F3608F"/>
    <w:rsid w:val="03F73430"/>
    <w:rsid w:val="0475016D"/>
    <w:rsid w:val="04B406C8"/>
    <w:rsid w:val="051A11D0"/>
    <w:rsid w:val="05A160C9"/>
    <w:rsid w:val="05B71053"/>
    <w:rsid w:val="07282BD2"/>
    <w:rsid w:val="073525D0"/>
    <w:rsid w:val="07933427"/>
    <w:rsid w:val="07DC285E"/>
    <w:rsid w:val="083E2A4B"/>
    <w:rsid w:val="08591C04"/>
    <w:rsid w:val="08CC269C"/>
    <w:rsid w:val="090215F0"/>
    <w:rsid w:val="091229C5"/>
    <w:rsid w:val="093B6561"/>
    <w:rsid w:val="094B1189"/>
    <w:rsid w:val="09FF031A"/>
    <w:rsid w:val="0A02743E"/>
    <w:rsid w:val="0A3F5E5E"/>
    <w:rsid w:val="0A9E3E3B"/>
    <w:rsid w:val="0AA00011"/>
    <w:rsid w:val="0B090D2C"/>
    <w:rsid w:val="0B4921CB"/>
    <w:rsid w:val="0B6F074F"/>
    <w:rsid w:val="0B957346"/>
    <w:rsid w:val="0C7A2535"/>
    <w:rsid w:val="0C7A6ED4"/>
    <w:rsid w:val="0CA465CD"/>
    <w:rsid w:val="0D5F0B5D"/>
    <w:rsid w:val="0EE43F5B"/>
    <w:rsid w:val="0EE86A55"/>
    <w:rsid w:val="0F6A005A"/>
    <w:rsid w:val="100533D0"/>
    <w:rsid w:val="101A6B79"/>
    <w:rsid w:val="10934141"/>
    <w:rsid w:val="10B36B79"/>
    <w:rsid w:val="10DF406E"/>
    <w:rsid w:val="11306208"/>
    <w:rsid w:val="11E90053"/>
    <w:rsid w:val="121D4CDC"/>
    <w:rsid w:val="12537254"/>
    <w:rsid w:val="12614FDC"/>
    <w:rsid w:val="128017F6"/>
    <w:rsid w:val="12B95B58"/>
    <w:rsid w:val="12BF58FF"/>
    <w:rsid w:val="12F24C1A"/>
    <w:rsid w:val="13176148"/>
    <w:rsid w:val="137568FB"/>
    <w:rsid w:val="13760D4E"/>
    <w:rsid w:val="13767950"/>
    <w:rsid w:val="13BF64E4"/>
    <w:rsid w:val="13F007FE"/>
    <w:rsid w:val="14147A3B"/>
    <w:rsid w:val="14A360C7"/>
    <w:rsid w:val="15020CA3"/>
    <w:rsid w:val="15583D2F"/>
    <w:rsid w:val="16035571"/>
    <w:rsid w:val="162639CD"/>
    <w:rsid w:val="16436BBB"/>
    <w:rsid w:val="16571DC8"/>
    <w:rsid w:val="16A3722E"/>
    <w:rsid w:val="16BB474E"/>
    <w:rsid w:val="172D2B29"/>
    <w:rsid w:val="174F27ED"/>
    <w:rsid w:val="175D29F7"/>
    <w:rsid w:val="180E1119"/>
    <w:rsid w:val="18393541"/>
    <w:rsid w:val="187C575F"/>
    <w:rsid w:val="18A176F2"/>
    <w:rsid w:val="18A500EF"/>
    <w:rsid w:val="18C35161"/>
    <w:rsid w:val="194E3170"/>
    <w:rsid w:val="195D7E33"/>
    <w:rsid w:val="198552B3"/>
    <w:rsid w:val="19970503"/>
    <w:rsid w:val="19C27D7F"/>
    <w:rsid w:val="19D759A1"/>
    <w:rsid w:val="19FB7AAE"/>
    <w:rsid w:val="1A3575A3"/>
    <w:rsid w:val="1B002FFA"/>
    <w:rsid w:val="1B1F58D7"/>
    <w:rsid w:val="1B9907D4"/>
    <w:rsid w:val="1BAC5276"/>
    <w:rsid w:val="1C0C749B"/>
    <w:rsid w:val="1C220CF4"/>
    <w:rsid w:val="1C2A1FFA"/>
    <w:rsid w:val="1CFB1DB5"/>
    <w:rsid w:val="1D290988"/>
    <w:rsid w:val="1D67554C"/>
    <w:rsid w:val="1D7D286E"/>
    <w:rsid w:val="1DD31238"/>
    <w:rsid w:val="1DEE4723"/>
    <w:rsid w:val="1E9C42C4"/>
    <w:rsid w:val="1EA33C4F"/>
    <w:rsid w:val="1F6736C2"/>
    <w:rsid w:val="1F783185"/>
    <w:rsid w:val="1FBE56A1"/>
    <w:rsid w:val="2071095A"/>
    <w:rsid w:val="20802E1C"/>
    <w:rsid w:val="20840C8E"/>
    <w:rsid w:val="208D6BBB"/>
    <w:rsid w:val="2136562D"/>
    <w:rsid w:val="21501756"/>
    <w:rsid w:val="215B62C9"/>
    <w:rsid w:val="21D7460A"/>
    <w:rsid w:val="2216145C"/>
    <w:rsid w:val="223649D8"/>
    <w:rsid w:val="22A45836"/>
    <w:rsid w:val="22B34C76"/>
    <w:rsid w:val="232A6187"/>
    <w:rsid w:val="23A75EEF"/>
    <w:rsid w:val="23E15977"/>
    <w:rsid w:val="24481FE0"/>
    <w:rsid w:val="248764B8"/>
    <w:rsid w:val="24BC14A0"/>
    <w:rsid w:val="259768C4"/>
    <w:rsid w:val="25F36AC0"/>
    <w:rsid w:val="2627351E"/>
    <w:rsid w:val="268F69D3"/>
    <w:rsid w:val="26A45E4D"/>
    <w:rsid w:val="26D20B6F"/>
    <w:rsid w:val="272711D4"/>
    <w:rsid w:val="27960276"/>
    <w:rsid w:val="29417347"/>
    <w:rsid w:val="2951754A"/>
    <w:rsid w:val="29A852E1"/>
    <w:rsid w:val="29EB4EC7"/>
    <w:rsid w:val="2A2F41FE"/>
    <w:rsid w:val="2A4D3368"/>
    <w:rsid w:val="2A721FF8"/>
    <w:rsid w:val="2B187193"/>
    <w:rsid w:val="2B2C3011"/>
    <w:rsid w:val="2B59385C"/>
    <w:rsid w:val="2B6356A4"/>
    <w:rsid w:val="2B812582"/>
    <w:rsid w:val="2B882FE3"/>
    <w:rsid w:val="2BFD2672"/>
    <w:rsid w:val="2BFE0E57"/>
    <w:rsid w:val="2C197A3A"/>
    <w:rsid w:val="2C3A22F9"/>
    <w:rsid w:val="2CF74318"/>
    <w:rsid w:val="2CFB12C0"/>
    <w:rsid w:val="2D591BF5"/>
    <w:rsid w:val="2DAE2FF1"/>
    <w:rsid w:val="2DB72CF5"/>
    <w:rsid w:val="2E060545"/>
    <w:rsid w:val="2E1F36AF"/>
    <w:rsid w:val="2F46011B"/>
    <w:rsid w:val="2F4F4390"/>
    <w:rsid w:val="2F6F2D87"/>
    <w:rsid w:val="2FEE50B1"/>
    <w:rsid w:val="2FFC7C4A"/>
    <w:rsid w:val="30305AEA"/>
    <w:rsid w:val="30353B90"/>
    <w:rsid w:val="304B257B"/>
    <w:rsid w:val="305A21E2"/>
    <w:rsid w:val="30B0524B"/>
    <w:rsid w:val="30B11B46"/>
    <w:rsid w:val="32081BE2"/>
    <w:rsid w:val="324C2EAE"/>
    <w:rsid w:val="32BD31BF"/>
    <w:rsid w:val="32D166F5"/>
    <w:rsid w:val="33864905"/>
    <w:rsid w:val="339F6C4E"/>
    <w:rsid w:val="33DA06F7"/>
    <w:rsid w:val="340F48FC"/>
    <w:rsid w:val="34265515"/>
    <w:rsid w:val="343C1419"/>
    <w:rsid w:val="344E2EE5"/>
    <w:rsid w:val="34AF2C20"/>
    <w:rsid w:val="34C11256"/>
    <w:rsid w:val="34F47CFA"/>
    <w:rsid w:val="34F77B28"/>
    <w:rsid w:val="351202FF"/>
    <w:rsid w:val="35BC388F"/>
    <w:rsid w:val="3609360F"/>
    <w:rsid w:val="361B04A0"/>
    <w:rsid w:val="365C6355"/>
    <w:rsid w:val="36646E1F"/>
    <w:rsid w:val="36825C5E"/>
    <w:rsid w:val="36C55F68"/>
    <w:rsid w:val="37265173"/>
    <w:rsid w:val="37D35893"/>
    <w:rsid w:val="383E4EC8"/>
    <w:rsid w:val="385A6D44"/>
    <w:rsid w:val="386A7099"/>
    <w:rsid w:val="386C740E"/>
    <w:rsid w:val="39120E52"/>
    <w:rsid w:val="393A6F31"/>
    <w:rsid w:val="393E24A6"/>
    <w:rsid w:val="39A560B6"/>
    <w:rsid w:val="3AA14BDA"/>
    <w:rsid w:val="3ACA4BAB"/>
    <w:rsid w:val="3B267C8A"/>
    <w:rsid w:val="3B946804"/>
    <w:rsid w:val="3BC86EC9"/>
    <w:rsid w:val="3BE6368D"/>
    <w:rsid w:val="3C4F553C"/>
    <w:rsid w:val="3C523343"/>
    <w:rsid w:val="3C57218D"/>
    <w:rsid w:val="3C755A92"/>
    <w:rsid w:val="3C7F7A11"/>
    <w:rsid w:val="3C890106"/>
    <w:rsid w:val="3D06066D"/>
    <w:rsid w:val="3D1651F0"/>
    <w:rsid w:val="3DC82823"/>
    <w:rsid w:val="3DED4844"/>
    <w:rsid w:val="3DF70654"/>
    <w:rsid w:val="3EBE5E7C"/>
    <w:rsid w:val="3F5F3197"/>
    <w:rsid w:val="3FAD462D"/>
    <w:rsid w:val="3FEB7AEB"/>
    <w:rsid w:val="3FEC7CB4"/>
    <w:rsid w:val="400043D5"/>
    <w:rsid w:val="40537911"/>
    <w:rsid w:val="40687AEB"/>
    <w:rsid w:val="40DC4C45"/>
    <w:rsid w:val="413F7118"/>
    <w:rsid w:val="41922BF1"/>
    <w:rsid w:val="419B78AF"/>
    <w:rsid w:val="41A20AF6"/>
    <w:rsid w:val="4218487C"/>
    <w:rsid w:val="42486ADC"/>
    <w:rsid w:val="426E4241"/>
    <w:rsid w:val="42F1542D"/>
    <w:rsid w:val="43012C12"/>
    <w:rsid w:val="43085A8E"/>
    <w:rsid w:val="43251536"/>
    <w:rsid w:val="432A2E25"/>
    <w:rsid w:val="43CF576B"/>
    <w:rsid w:val="43D766A6"/>
    <w:rsid w:val="43E9510A"/>
    <w:rsid w:val="440D2A03"/>
    <w:rsid w:val="445E5402"/>
    <w:rsid w:val="446C1C00"/>
    <w:rsid w:val="44774F25"/>
    <w:rsid w:val="44BA73CE"/>
    <w:rsid w:val="44DF6588"/>
    <w:rsid w:val="44E27BB3"/>
    <w:rsid w:val="45487245"/>
    <w:rsid w:val="45841D41"/>
    <w:rsid w:val="458D7872"/>
    <w:rsid w:val="45920884"/>
    <w:rsid w:val="45A80E29"/>
    <w:rsid w:val="46387E1F"/>
    <w:rsid w:val="465A1079"/>
    <w:rsid w:val="465E0411"/>
    <w:rsid w:val="46633C2B"/>
    <w:rsid w:val="46CB1754"/>
    <w:rsid w:val="46E771D4"/>
    <w:rsid w:val="47A87CE1"/>
    <w:rsid w:val="47B411D0"/>
    <w:rsid w:val="47C066CC"/>
    <w:rsid w:val="47D55B81"/>
    <w:rsid w:val="48B6365C"/>
    <w:rsid w:val="48C64ECB"/>
    <w:rsid w:val="48FB6A8F"/>
    <w:rsid w:val="493A6E76"/>
    <w:rsid w:val="497F6E31"/>
    <w:rsid w:val="499D3D96"/>
    <w:rsid w:val="49C778F0"/>
    <w:rsid w:val="49DF1C3F"/>
    <w:rsid w:val="4A230D13"/>
    <w:rsid w:val="4A72487D"/>
    <w:rsid w:val="4AA27F9B"/>
    <w:rsid w:val="4B32363B"/>
    <w:rsid w:val="4B667B2B"/>
    <w:rsid w:val="4B735DE7"/>
    <w:rsid w:val="4B8E3C11"/>
    <w:rsid w:val="4BC3729A"/>
    <w:rsid w:val="4BCB4884"/>
    <w:rsid w:val="4BF23E4F"/>
    <w:rsid w:val="4C4607DA"/>
    <w:rsid w:val="4C595551"/>
    <w:rsid w:val="4CA72631"/>
    <w:rsid w:val="4CC319AB"/>
    <w:rsid w:val="4CFF6B43"/>
    <w:rsid w:val="4D1A110D"/>
    <w:rsid w:val="4D6466CB"/>
    <w:rsid w:val="4DBD0916"/>
    <w:rsid w:val="4E092FFA"/>
    <w:rsid w:val="4E1857AC"/>
    <w:rsid w:val="4E733D84"/>
    <w:rsid w:val="4EA577DD"/>
    <w:rsid w:val="4EB04F44"/>
    <w:rsid w:val="4EE81261"/>
    <w:rsid w:val="4EF1621C"/>
    <w:rsid w:val="4F523FD7"/>
    <w:rsid w:val="4F7D08F7"/>
    <w:rsid w:val="4F9A19C9"/>
    <w:rsid w:val="50016AC2"/>
    <w:rsid w:val="50123898"/>
    <w:rsid w:val="5030772D"/>
    <w:rsid w:val="50427E43"/>
    <w:rsid w:val="50471644"/>
    <w:rsid w:val="51AB68BB"/>
    <w:rsid w:val="51BE3532"/>
    <w:rsid w:val="52A73009"/>
    <w:rsid w:val="52D46729"/>
    <w:rsid w:val="52EA405B"/>
    <w:rsid w:val="530024DC"/>
    <w:rsid w:val="53194738"/>
    <w:rsid w:val="532A3D6B"/>
    <w:rsid w:val="53836818"/>
    <w:rsid w:val="538A0F52"/>
    <w:rsid w:val="5397240C"/>
    <w:rsid w:val="53DA11A0"/>
    <w:rsid w:val="53E32E8A"/>
    <w:rsid w:val="53FA354B"/>
    <w:rsid w:val="54734B94"/>
    <w:rsid w:val="548C31C2"/>
    <w:rsid w:val="54915BA9"/>
    <w:rsid w:val="54C2402E"/>
    <w:rsid w:val="54FC1DBF"/>
    <w:rsid w:val="554B6AF4"/>
    <w:rsid w:val="557C4472"/>
    <w:rsid w:val="564B6B63"/>
    <w:rsid w:val="56514C21"/>
    <w:rsid w:val="567345E6"/>
    <w:rsid w:val="568E367B"/>
    <w:rsid w:val="56A70A5C"/>
    <w:rsid w:val="570B3917"/>
    <w:rsid w:val="5749021F"/>
    <w:rsid w:val="5779299C"/>
    <w:rsid w:val="57D85739"/>
    <w:rsid w:val="57F6355F"/>
    <w:rsid w:val="580E186D"/>
    <w:rsid w:val="580F3D30"/>
    <w:rsid w:val="58221A49"/>
    <w:rsid w:val="58B42698"/>
    <w:rsid w:val="592D575A"/>
    <w:rsid w:val="596407D3"/>
    <w:rsid w:val="597A4752"/>
    <w:rsid w:val="5A573610"/>
    <w:rsid w:val="5A8E4D76"/>
    <w:rsid w:val="5B1E5F8A"/>
    <w:rsid w:val="5B6F6F42"/>
    <w:rsid w:val="5B825CAE"/>
    <w:rsid w:val="5BEF6CB4"/>
    <w:rsid w:val="5C12559D"/>
    <w:rsid w:val="5C476F4F"/>
    <w:rsid w:val="5C9748E3"/>
    <w:rsid w:val="5CBC6CD8"/>
    <w:rsid w:val="5CD740E4"/>
    <w:rsid w:val="5D6826B9"/>
    <w:rsid w:val="5DB7078B"/>
    <w:rsid w:val="5E0B66F4"/>
    <w:rsid w:val="5E0E21E2"/>
    <w:rsid w:val="5E7D3DE6"/>
    <w:rsid w:val="5EE83FD6"/>
    <w:rsid w:val="5F093E9D"/>
    <w:rsid w:val="5F217E4A"/>
    <w:rsid w:val="5FF83421"/>
    <w:rsid w:val="6045177F"/>
    <w:rsid w:val="607E307A"/>
    <w:rsid w:val="60D57D69"/>
    <w:rsid w:val="60F308EF"/>
    <w:rsid w:val="611A4780"/>
    <w:rsid w:val="6176717E"/>
    <w:rsid w:val="61A76DC0"/>
    <w:rsid w:val="62186AF3"/>
    <w:rsid w:val="623F0EEA"/>
    <w:rsid w:val="62492AD7"/>
    <w:rsid w:val="62966D01"/>
    <w:rsid w:val="62A10B56"/>
    <w:rsid w:val="62BB5C43"/>
    <w:rsid w:val="63653051"/>
    <w:rsid w:val="63737A74"/>
    <w:rsid w:val="637A6826"/>
    <w:rsid w:val="63ED479F"/>
    <w:rsid w:val="64B07C76"/>
    <w:rsid w:val="64BF0710"/>
    <w:rsid w:val="64C2003B"/>
    <w:rsid w:val="658028C9"/>
    <w:rsid w:val="65A73D5C"/>
    <w:rsid w:val="66116ABA"/>
    <w:rsid w:val="66171B8A"/>
    <w:rsid w:val="665373D5"/>
    <w:rsid w:val="665F0314"/>
    <w:rsid w:val="66924654"/>
    <w:rsid w:val="66C1218C"/>
    <w:rsid w:val="66DF3DF0"/>
    <w:rsid w:val="67FB3499"/>
    <w:rsid w:val="68467EA7"/>
    <w:rsid w:val="69D9186B"/>
    <w:rsid w:val="6A613793"/>
    <w:rsid w:val="6AAB298E"/>
    <w:rsid w:val="6B5B4CB0"/>
    <w:rsid w:val="6B8D4C87"/>
    <w:rsid w:val="6B9660DC"/>
    <w:rsid w:val="6C0C7052"/>
    <w:rsid w:val="6D0240E7"/>
    <w:rsid w:val="6D762C20"/>
    <w:rsid w:val="6D827EB8"/>
    <w:rsid w:val="6D943EDD"/>
    <w:rsid w:val="6E1950F6"/>
    <w:rsid w:val="6E310AD8"/>
    <w:rsid w:val="6E940B7A"/>
    <w:rsid w:val="6F9164AF"/>
    <w:rsid w:val="701A44B3"/>
    <w:rsid w:val="703A272E"/>
    <w:rsid w:val="70B30FF5"/>
    <w:rsid w:val="70BB3E83"/>
    <w:rsid w:val="70FC6010"/>
    <w:rsid w:val="717C721C"/>
    <w:rsid w:val="72294B2F"/>
    <w:rsid w:val="723E1C1A"/>
    <w:rsid w:val="727B0E3A"/>
    <w:rsid w:val="73EB2BFF"/>
    <w:rsid w:val="74D06A77"/>
    <w:rsid w:val="75065DB7"/>
    <w:rsid w:val="75F65014"/>
    <w:rsid w:val="76221787"/>
    <w:rsid w:val="76510885"/>
    <w:rsid w:val="76C3560E"/>
    <w:rsid w:val="770F35FE"/>
    <w:rsid w:val="77185A8F"/>
    <w:rsid w:val="772417AF"/>
    <w:rsid w:val="7751784F"/>
    <w:rsid w:val="777B5002"/>
    <w:rsid w:val="779473C7"/>
    <w:rsid w:val="781977C0"/>
    <w:rsid w:val="782F13D2"/>
    <w:rsid w:val="78477BB6"/>
    <w:rsid w:val="785A5B03"/>
    <w:rsid w:val="796E4E17"/>
    <w:rsid w:val="79C4024E"/>
    <w:rsid w:val="79FC265D"/>
    <w:rsid w:val="7A1D4152"/>
    <w:rsid w:val="7ABE4CD1"/>
    <w:rsid w:val="7AFE606B"/>
    <w:rsid w:val="7B271119"/>
    <w:rsid w:val="7B5254FB"/>
    <w:rsid w:val="7B5935FD"/>
    <w:rsid w:val="7BB27F43"/>
    <w:rsid w:val="7BB72EDA"/>
    <w:rsid w:val="7BDB6CDC"/>
    <w:rsid w:val="7C340505"/>
    <w:rsid w:val="7C471EE4"/>
    <w:rsid w:val="7D4635B2"/>
    <w:rsid w:val="7D64173C"/>
    <w:rsid w:val="7DFC1F91"/>
    <w:rsid w:val="7E0916DD"/>
    <w:rsid w:val="7E405882"/>
    <w:rsid w:val="7EA254FE"/>
    <w:rsid w:val="7EA875E5"/>
    <w:rsid w:val="7EB804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qFormat="1" w:uiPriority="0"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0"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33"/>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34"/>
    <w:qFormat/>
    <w:uiPriority w:val="9"/>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link w:val="35"/>
    <w:qFormat/>
    <w:uiPriority w:val="99"/>
    <w:pPr>
      <w:keepNext/>
      <w:keepLines/>
      <w:spacing w:before="260" w:after="260" w:line="416" w:lineRule="auto"/>
      <w:outlineLvl w:val="2"/>
    </w:pPr>
    <w:rPr>
      <w:b/>
      <w:bCs/>
      <w:kern w:val="0"/>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locked/>
    <w:uiPriority w:val="0"/>
    <w:pPr>
      <w:jc w:val="center"/>
    </w:pPr>
    <w:rPr>
      <w:kern w:val="0"/>
      <w:sz w:val="44"/>
    </w:rPr>
  </w:style>
  <w:style w:type="paragraph" w:styleId="3">
    <w:name w:val="Title"/>
    <w:basedOn w:val="1"/>
    <w:next w:val="1"/>
    <w:qFormat/>
    <w:locked/>
    <w:uiPriority w:val="10"/>
    <w:pPr>
      <w:spacing w:before="240" w:after="60"/>
      <w:jc w:val="center"/>
      <w:outlineLvl w:val="0"/>
    </w:pPr>
    <w:rPr>
      <w:rFonts w:ascii="Arial" w:hAnsi="Arial"/>
      <w:b/>
      <w:bCs/>
      <w:sz w:val="32"/>
      <w:szCs w:val="32"/>
    </w:rPr>
  </w:style>
  <w:style w:type="paragraph" w:styleId="7">
    <w:name w:val="annotation text"/>
    <w:basedOn w:val="1"/>
    <w:link w:val="36"/>
    <w:semiHidden/>
    <w:qFormat/>
    <w:uiPriority w:val="99"/>
    <w:pPr>
      <w:jc w:val="left"/>
    </w:pPr>
    <w:rPr>
      <w:kern w:val="0"/>
      <w:sz w:val="20"/>
      <w:szCs w:val="21"/>
    </w:rPr>
  </w:style>
  <w:style w:type="paragraph" w:styleId="8">
    <w:name w:val="Body Text Indent"/>
    <w:basedOn w:val="1"/>
    <w:qFormat/>
    <w:locked/>
    <w:uiPriority w:val="0"/>
    <w:pPr>
      <w:wordWrap w:val="0"/>
      <w:overflowPunct w:val="0"/>
      <w:autoSpaceDE w:val="0"/>
      <w:autoSpaceDN w:val="0"/>
      <w:adjustRightInd w:val="0"/>
      <w:spacing w:after="120" w:line="360" w:lineRule="auto"/>
      <w:ind w:left="420" w:leftChars="200"/>
      <w:jc w:val="left"/>
      <w:textAlignment w:val="baseline"/>
    </w:pPr>
    <w:rPr>
      <w:rFonts w:ascii="Arial" w:hAnsi="Arial"/>
      <w:kern w:val="0"/>
      <w:sz w:val="24"/>
      <w:szCs w:val="20"/>
    </w:rPr>
  </w:style>
  <w:style w:type="paragraph" w:styleId="9">
    <w:name w:val="Date"/>
    <w:basedOn w:val="1"/>
    <w:next w:val="1"/>
    <w:link w:val="37"/>
    <w:semiHidden/>
    <w:qFormat/>
    <w:uiPriority w:val="99"/>
    <w:pPr>
      <w:ind w:left="100" w:leftChars="2500"/>
    </w:pPr>
  </w:style>
  <w:style w:type="paragraph" w:styleId="10">
    <w:name w:val="Balloon Text"/>
    <w:basedOn w:val="1"/>
    <w:link w:val="38"/>
    <w:semiHidden/>
    <w:qFormat/>
    <w:uiPriority w:val="99"/>
    <w:rPr>
      <w:kern w:val="0"/>
      <w:sz w:val="18"/>
      <w:szCs w:val="18"/>
    </w:rPr>
  </w:style>
  <w:style w:type="paragraph" w:styleId="11">
    <w:name w:val="footer"/>
    <w:basedOn w:val="1"/>
    <w:link w:val="39"/>
    <w:qFormat/>
    <w:uiPriority w:val="99"/>
    <w:pPr>
      <w:tabs>
        <w:tab w:val="center" w:pos="4153"/>
        <w:tab w:val="right" w:pos="8306"/>
      </w:tabs>
      <w:snapToGrid w:val="0"/>
      <w:jc w:val="left"/>
    </w:pPr>
    <w:rPr>
      <w:kern w:val="0"/>
      <w:sz w:val="18"/>
      <w:szCs w:val="18"/>
    </w:rPr>
  </w:style>
  <w:style w:type="paragraph" w:styleId="12">
    <w:name w:val="header"/>
    <w:basedOn w:val="1"/>
    <w:link w:val="40"/>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qFormat/>
    <w:uiPriority w:val="99"/>
    <w:pPr>
      <w:tabs>
        <w:tab w:val="right" w:leader="dot" w:pos="9241"/>
      </w:tabs>
      <w:spacing w:beforeLines="25" w:afterLines="25"/>
      <w:jc w:val="left"/>
    </w:pPr>
    <w:rPr>
      <w:rFonts w:ascii="宋体"/>
      <w:szCs w:val="21"/>
    </w:rPr>
  </w:style>
  <w:style w:type="paragraph" w:styleId="14">
    <w:name w:val="toc 2"/>
    <w:basedOn w:val="1"/>
    <w:next w:val="1"/>
    <w:qFormat/>
    <w:uiPriority w:val="99"/>
    <w:pPr>
      <w:tabs>
        <w:tab w:val="right" w:leader="dot" w:pos="9241"/>
      </w:tabs>
    </w:pPr>
    <w:rPr>
      <w:rFonts w:ascii="宋体"/>
      <w:szCs w:val="21"/>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6">
    <w:name w:val="Body Text First Indent 2"/>
    <w:basedOn w:val="8"/>
    <w:unhideWhenUsed/>
    <w:qFormat/>
    <w:locked/>
    <w:uiPriority w:val="0"/>
    <w:pPr>
      <w:ind w:firstLine="420" w:firstLineChars="200"/>
    </w:pPr>
  </w:style>
  <w:style w:type="table" w:styleId="18">
    <w:name w:val="Table Grid"/>
    <w:basedOn w:val="17"/>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semiHidden/>
    <w:qFormat/>
    <w:uiPriority w:val="99"/>
    <w:rPr>
      <w:rFonts w:cs="Times New Roman"/>
      <w:color w:val="0000CC"/>
      <w:u w:val="single"/>
    </w:rPr>
  </w:style>
  <w:style w:type="character" w:styleId="21">
    <w:name w:val="annotation reference"/>
    <w:semiHidden/>
    <w:qFormat/>
    <w:uiPriority w:val="99"/>
    <w:rPr>
      <w:rFonts w:cs="Times New Roman"/>
      <w:sz w:val="21"/>
    </w:rPr>
  </w:style>
  <w:style w:type="paragraph" w:customStyle="1" w:styleId="22">
    <w:name w:val="段"/>
    <w:link w:val="4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3">
    <w:name w:val="列出段落1"/>
    <w:basedOn w:val="1"/>
    <w:qFormat/>
    <w:uiPriority w:val="99"/>
    <w:pPr>
      <w:ind w:firstLine="420" w:firstLineChars="200"/>
    </w:pPr>
  </w:style>
  <w:style w:type="paragraph" w:customStyle="1" w:styleId="24">
    <w:name w:val="目次、标准名称标题"/>
    <w:basedOn w:val="1"/>
    <w:next w:val="22"/>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5">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6">
    <w:name w:val="标准文件_段"/>
    <w:link w:val="4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8">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9">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30">
    <w:name w:val="标准文件_数字编号列项（二级）"/>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31">
    <w:name w:val="标准文件_二级条标题"/>
    <w:next w:val="26"/>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32">
    <w:name w:val="标准文件_三级条标题"/>
    <w:next w:val="26"/>
    <w:qFormat/>
    <w:uiPriority w:val="0"/>
    <w:pPr>
      <w:outlineLvl w:val="3"/>
    </w:pPr>
    <w:rPr>
      <w:rFonts w:ascii="Times New Roman" w:hAnsi="Times New Roman" w:eastAsia="宋体" w:cs="Times New Roman"/>
      <w:lang w:val="en-US" w:eastAsia="zh-CN" w:bidi="ar-SA"/>
    </w:rPr>
  </w:style>
  <w:style w:type="character" w:customStyle="1" w:styleId="33">
    <w:name w:val="标题 1 字符"/>
    <w:link w:val="4"/>
    <w:qFormat/>
    <w:locked/>
    <w:uiPriority w:val="99"/>
    <w:rPr>
      <w:rFonts w:cs="Times New Roman"/>
      <w:b/>
      <w:kern w:val="44"/>
      <w:sz w:val="44"/>
    </w:rPr>
  </w:style>
  <w:style w:type="character" w:customStyle="1" w:styleId="34">
    <w:name w:val="标题 2 字符"/>
    <w:link w:val="5"/>
    <w:qFormat/>
    <w:locked/>
    <w:uiPriority w:val="9"/>
    <w:rPr>
      <w:rFonts w:ascii="Cambria" w:hAnsi="Cambria" w:eastAsia="宋体" w:cs="Times New Roman"/>
      <w:b/>
      <w:sz w:val="32"/>
    </w:rPr>
  </w:style>
  <w:style w:type="character" w:customStyle="1" w:styleId="35">
    <w:name w:val="标题 3 字符"/>
    <w:link w:val="6"/>
    <w:qFormat/>
    <w:locked/>
    <w:uiPriority w:val="99"/>
    <w:rPr>
      <w:rFonts w:cs="Times New Roman"/>
      <w:b/>
      <w:sz w:val="32"/>
    </w:rPr>
  </w:style>
  <w:style w:type="character" w:customStyle="1" w:styleId="36">
    <w:name w:val="批注文字 字符"/>
    <w:link w:val="7"/>
    <w:semiHidden/>
    <w:qFormat/>
    <w:locked/>
    <w:uiPriority w:val="99"/>
    <w:rPr>
      <w:rFonts w:ascii="Calibri" w:hAnsi="Calibri" w:eastAsia="宋体" w:cs="Times New Roman"/>
      <w:sz w:val="21"/>
    </w:rPr>
  </w:style>
  <w:style w:type="character" w:customStyle="1" w:styleId="37">
    <w:name w:val="日期 字符"/>
    <w:link w:val="9"/>
    <w:semiHidden/>
    <w:qFormat/>
    <w:locked/>
    <w:uiPriority w:val="99"/>
    <w:rPr>
      <w:rFonts w:cs="Times New Roman"/>
      <w:kern w:val="2"/>
      <w:sz w:val="22"/>
      <w:szCs w:val="22"/>
    </w:rPr>
  </w:style>
  <w:style w:type="character" w:customStyle="1" w:styleId="38">
    <w:name w:val="批注框文本 字符"/>
    <w:link w:val="10"/>
    <w:semiHidden/>
    <w:qFormat/>
    <w:locked/>
    <w:uiPriority w:val="99"/>
    <w:rPr>
      <w:rFonts w:cs="Times New Roman"/>
      <w:sz w:val="18"/>
    </w:rPr>
  </w:style>
  <w:style w:type="character" w:customStyle="1" w:styleId="39">
    <w:name w:val="页脚 字符"/>
    <w:link w:val="11"/>
    <w:qFormat/>
    <w:locked/>
    <w:uiPriority w:val="99"/>
    <w:rPr>
      <w:rFonts w:cs="Times New Roman"/>
      <w:sz w:val="18"/>
    </w:rPr>
  </w:style>
  <w:style w:type="character" w:customStyle="1" w:styleId="40">
    <w:name w:val="页眉 字符"/>
    <w:link w:val="12"/>
    <w:qFormat/>
    <w:locked/>
    <w:uiPriority w:val="99"/>
    <w:rPr>
      <w:rFonts w:cs="Times New Roman"/>
      <w:sz w:val="18"/>
    </w:rPr>
  </w:style>
  <w:style w:type="character" w:customStyle="1" w:styleId="41">
    <w:name w:val="段 Char"/>
    <w:link w:val="22"/>
    <w:qFormat/>
    <w:locked/>
    <w:uiPriority w:val="0"/>
    <w:rPr>
      <w:rFonts w:ascii="宋体" w:hAnsi="Times New Roman"/>
      <w:sz w:val="22"/>
    </w:rPr>
  </w:style>
  <w:style w:type="character" w:customStyle="1" w:styleId="42">
    <w:name w:val="占位符文本1"/>
    <w:semiHidden/>
    <w:qFormat/>
    <w:uiPriority w:val="99"/>
    <w:rPr>
      <w:rFonts w:cs="Times New Roman"/>
      <w:color w:val="808080"/>
    </w:rPr>
  </w:style>
  <w:style w:type="character" w:customStyle="1" w:styleId="43">
    <w:name w:val="fontstyle01"/>
    <w:qFormat/>
    <w:uiPriority w:val="0"/>
    <w:rPr>
      <w:rFonts w:ascii="宋体" w:hAnsi="宋体" w:eastAsia="宋体" w:cs="宋体"/>
      <w:color w:val="000000"/>
      <w:sz w:val="22"/>
      <w:szCs w:val="22"/>
    </w:rPr>
  </w:style>
  <w:style w:type="paragraph" w:styleId="44">
    <w:name w:val="List Paragraph"/>
    <w:basedOn w:val="1"/>
    <w:qFormat/>
    <w:uiPriority w:val="99"/>
    <w:pPr>
      <w:ind w:firstLine="420" w:firstLineChars="200"/>
    </w:pPr>
  </w:style>
  <w:style w:type="paragraph" w:customStyle="1" w:styleId="45">
    <w:name w:val="一级条标题"/>
    <w:next w:val="22"/>
    <w:unhideWhenUsed/>
    <w:qFormat/>
    <w:uiPriority w:val="0"/>
    <w:pPr>
      <w:spacing w:beforeLines="50" w:afterLines="50"/>
      <w:outlineLvl w:val="2"/>
    </w:pPr>
    <w:rPr>
      <w:rFonts w:hint="eastAsia" w:ascii="黑体" w:hAnsi="Times New Roman" w:eastAsia="黑体" w:cs="Times New Roman"/>
      <w:sz w:val="21"/>
      <w:szCs w:val="21"/>
      <w:lang w:val="en-US" w:eastAsia="zh-CN" w:bidi="ar-SA"/>
    </w:rPr>
  </w:style>
  <w:style w:type="paragraph" w:customStyle="1" w:styleId="46">
    <w:name w:val="标准书眉_奇数页"/>
    <w:next w:val="1"/>
    <w:unhideWhenUsed/>
    <w:qFormat/>
    <w:uiPriority w:val="0"/>
    <w:pPr>
      <w:tabs>
        <w:tab w:val="center" w:pos="4154"/>
        <w:tab w:val="right" w:pos="8306"/>
      </w:tabs>
      <w:jc w:val="right"/>
    </w:pPr>
    <w:rPr>
      <w:rFonts w:hint="eastAsia" w:ascii="黑体" w:hAnsi="Times New Roman" w:eastAsia="黑体" w:cs="Times New Roman"/>
      <w:sz w:val="21"/>
      <w:szCs w:val="21"/>
      <w:lang w:val="en-US" w:eastAsia="zh-CN" w:bidi="ar-SA"/>
    </w:rPr>
  </w:style>
  <w:style w:type="paragraph" w:customStyle="1" w:styleId="47">
    <w:name w:val="修订1"/>
    <w:hidden/>
    <w:unhideWhenUsed/>
    <w:qFormat/>
    <w:uiPriority w:val="99"/>
    <w:rPr>
      <w:rFonts w:ascii="Calibri" w:hAnsi="Calibri" w:eastAsia="宋体" w:cs="Times New Roman"/>
      <w:kern w:val="2"/>
      <w:sz w:val="21"/>
      <w:szCs w:val="22"/>
      <w:lang w:val="en-US" w:eastAsia="zh-CN" w:bidi="ar-SA"/>
    </w:rPr>
  </w:style>
  <w:style w:type="character" w:customStyle="1" w:styleId="48">
    <w:name w:val="标准文件_段 Char"/>
    <w:link w:val="26"/>
    <w:qFormat/>
    <w:uiPriority w:val="0"/>
    <w:rPr>
      <w:rFonts w:ascii="宋体"/>
      <w:sz w:val="21"/>
    </w:rPr>
  </w:style>
  <w:style w:type="paragraph" w:customStyle="1" w:styleId="49">
    <w:name w:val="标准文件_四级条标题"/>
    <w:next w:val="26"/>
    <w:qFormat/>
    <w:uiPriority w:val="0"/>
    <w:pPr>
      <w:widowControl w:val="0"/>
      <w:spacing w:beforeLines="50" w:afterLines="50"/>
      <w:jc w:val="both"/>
      <w:outlineLvl w:val="4"/>
    </w:pPr>
    <w:rPr>
      <w:rFonts w:ascii="黑体" w:hAnsi="Times New Roman" w:eastAsia="黑体" w:cs="Times New Roman"/>
      <w:sz w:val="21"/>
      <w:lang w:val="en-US" w:eastAsia="zh-CN" w:bidi="ar-SA"/>
    </w:rPr>
  </w:style>
  <w:style w:type="paragraph" w:customStyle="1" w:styleId="50">
    <w:name w:val="标准文件_五级条标题"/>
    <w:next w:val="26"/>
    <w:qFormat/>
    <w:uiPriority w:val="0"/>
    <w:pPr>
      <w:widowControl w:val="0"/>
      <w:spacing w:beforeLines="50" w:afterLines="50"/>
      <w:jc w:val="both"/>
      <w:outlineLvl w:val="5"/>
    </w:pPr>
    <w:rPr>
      <w:rFonts w:ascii="黑体" w:hAnsi="Times New Roman" w:eastAsia="黑体" w:cs="Times New Roman"/>
      <w:sz w:val="21"/>
      <w:lang w:val="en-US" w:eastAsia="zh-CN" w:bidi="ar-SA"/>
    </w:rPr>
  </w:style>
  <w:style w:type="paragraph" w:customStyle="1" w:styleId="51">
    <w:name w:val="标准文件_章标题"/>
    <w:next w:val="26"/>
    <w:qFormat/>
    <w:uiPriority w:val="0"/>
    <w:pPr>
      <w:spacing w:beforeLines="100" w:afterLines="100"/>
      <w:jc w:val="both"/>
      <w:outlineLvl w:val="0"/>
    </w:pPr>
    <w:rPr>
      <w:rFonts w:ascii="黑体" w:hAnsi="Times New Roman" w:eastAsia="黑体" w:cs="Times New Roman"/>
      <w:sz w:val="21"/>
      <w:lang w:val="en-US" w:eastAsia="zh-CN" w:bidi="ar-SA"/>
    </w:rPr>
  </w:style>
  <w:style w:type="paragraph" w:customStyle="1" w:styleId="52">
    <w:name w:val="标准文件_一级条标题"/>
    <w:basedOn w:val="51"/>
    <w:next w:val="26"/>
    <w:qFormat/>
    <w:uiPriority w:val="0"/>
    <w:pPr>
      <w:spacing w:beforeLines="50" w:afterLines="50"/>
      <w:outlineLvl w:val="1"/>
    </w:pPr>
  </w:style>
  <w:style w:type="paragraph" w:customStyle="1" w:styleId="53">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54">
    <w:name w:val="标准文件_一级项"/>
    <w:qFormat/>
    <w:uiPriority w:val="0"/>
    <w:pPr>
      <w:numPr>
        <w:ilvl w:val="0"/>
        <w:numId w:val="3"/>
      </w:numPr>
    </w:pPr>
    <w:rPr>
      <w:rFonts w:ascii="宋体" w:hAnsi="Times New Roman" w:eastAsia="宋体" w:cs="Times New Roman"/>
      <w:sz w:val="21"/>
      <w:lang w:val="en-US" w:eastAsia="zh-CN" w:bidi="ar-SA"/>
    </w:rPr>
  </w:style>
  <w:style w:type="paragraph" w:customStyle="1" w:styleId="55">
    <w:name w:val="标准文件_三级项"/>
    <w:basedOn w:val="1"/>
    <w:qFormat/>
    <w:uiPriority w:val="0"/>
    <w:pPr>
      <w:numPr>
        <w:ilvl w:val="2"/>
        <w:numId w:val="3"/>
      </w:numPr>
      <w:adjustRightInd w:val="0"/>
      <w:spacing w:line="536870612" w:lineRule="auto"/>
    </w:pPr>
    <w:rPr>
      <w:rFonts w:ascii="Times New Roman" w:hAnsi="Times New Roman"/>
      <w:szCs w:val="21"/>
    </w:rPr>
  </w:style>
  <w:style w:type="paragraph" w:customStyle="1" w:styleId="56">
    <w:name w:val="标准文件_二级项2"/>
    <w:basedOn w:val="26"/>
    <w:qFormat/>
    <w:uiPriority w:val="0"/>
    <w:pPr>
      <w:numPr>
        <w:ilvl w:val="1"/>
        <w:numId w:val="3"/>
      </w:numPr>
      <w:ind w:left="1271" w:hanging="420" w:firstLineChars="0"/>
    </w:pPr>
  </w:style>
  <w:style w:type="paragraph" w:customStyle="1" w:styleId="57">
    <w:name w:val="修订2"/>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2424</Words>
  <Characters>2709</Characters>
  <Lines>137</Lines>
  <Paragraphs>103</Paragraphs>
  <TotalTime>5</TotalTime>
  <ScaleCrop>false</ScaleCrop>
  <LinksUpToDate>false</LinksUpToDate>
  <CharactersWithSpaces>2778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2024-09-27T07:09:00Z</dcterms:created>
  <dc:creator>liu</dc:creator>
  <cp:lastModifiedBy>宁静以致远~</cp:lastModifiedBy>
  <cp:lastPrinted>2020-06-01T08:06:00Z</cp:lastPrinted>
  <dcterms:modified xsi:type="dcterms:W3CDTF">2026-08-05T02:28:42Z</dcterms:modified>
  <dc:title>中国仪器仪表行业协会团体标准</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A6F81F5026554D1CA1A26E17A2991481_13</vt:lpwstr>
  </property>
  <property fmtid="{D5CDD505-2E9C-101B-9397-08002B2CF9AE}" pid="4" name="KSOTemplateDocerSaveRecord">
    <vt:lpwstr>eyJoZGlkIjoiYjY5ODdiYWZhYzQxMDhkMWZjZjVjZDA1OGFkNjQzYjgiLCJ1c2VySWQiOiI4NjU1NDkwMjgifQ==</vt:lpwstr>
  </property>
</Properties>
</file>