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E54355">
      <w:pPr>
        <w:pStyle w:val="22"/>
        <w:spacing w:line="360" w:lineRule="auto"/>
        <w:ind w:left="0" w:leftChars="0" w:firstLine="520" w:firstLineChars="100"/>
        <w:jc w:val="both"/>
        <w:rPr>
          <w:rFonts w:ascii="黑体" w:eastAsia="黑体"/>
          <w:sz w:val="30"/>
          <w:szCs w:val="30"/>
        </w:rPr>
      </w:pPr>
      <w:bookmarkStart w:id="0" w:name="SectionMark4"/>
      <w:r>
        <w:rPr>
          <w:rFonts w:hint="eastAsia" w:ascii="Times New Roman" w:hAnsi="Times New Roman" w:eastAsia="黑体"/>
          <w:sz w:val="52"/>
          <w:szCs w:val="52"/>
        </w:rPr>
        <w:t>中国仪器仪表行业协会团体标准</w:t>
      </w:r>
    </w:p>
    <w:p w14:paraId="228E52F1">
      <w:pPr>
        <w:pStyle w:val="22"/>
        <w:spacing w:line="360" w:lineRule="auto"/>
        <w:ind w:firstLine="600"/>
        <w:jc w:val="center"/>
        <w:rPr>
          <w:rFonts w:ascii="黑体" w:eastAsia="黑体"/>
          <w:sz w:val="30"/>
          <w:szCs w:val="30"/>
        </w:rPr>
      </w:pPr>
    </w:p>
    <w:p w14:paraId="65621696">
      <w:pPr>
        <w:pStyle w:val="22"/>
        <w:spacing w:line="360" w:lineRule="auto"/>
        <w:ind w:firstLine="600"/>
        <w:jc w:val="center"/>
        <w:rPr>
          <w:rFonts w:ascii="黑体" w:eastAsia="黑体"/>
          <w:sz w:val="30"/>
          <w:szCs w:val="30"/>
        </w:rPr>
      </w:pPr>
    </w:p>
    <w:p w14:paraId="6195FF1B">
      <w:pPr>
        <w:pStyle w:val="22"/>
        <w:spacing w:line="360" w:lineRule="auto"/>
        <w:ind w:firstLine="600"/>
        <w:jc w:val="center"/>
        <w:rPr>
          <w:rFonts w:ascii="黑体" w:eastAsia="黑体"/>
          <w:sz w:val="30"/>
          <w:szCs w:val="30"/>
        </w:rPr>
      </w:pPr>
    </w:p>
    <w:p w14:paraId="7C8C7411">
      <w:pPr>
        <w:pStyle w:val="22"/>
        <w:spacing w:line="360" w:lineRule="auto"/>
        <w:ind w:firstLine="600"/>
        <w:jc w:val="center"/>
        <w:rPr>
          <w:rFonts w:ascii="黑体" w:eastAsia="黑体"/>
          <w:sz w:val="30"/>
          <w:szCs w:val="30"/>
        </w:rPr>
      </w:pPr>
    </w:p>
    <w:p w14:paraId="36A0B0D7">
      <w:pPr>
        <w:pStyle w:val="22"/>
        <w:spacing w:line="360" w:lineRule="auto"/>
        <w:ind w:firstLine="0" w:firstLineChars="0"/>
        <w:jc w:val="center"/>
        <w:rPr>
          <w:rFonts w:hint="eastAsia" w:ascii="黑体" w:hAnsi="黑体" w:eastAsia="黑体" w:cs="黑体"/>
          <w:sz w:val="44"/>
          <w:szCs w:val="44"/>
        </w:rPr>
      </w:pPr>
      <w:r>
        <w:rPr>
          <w:rFonts w:hint="eastAsia" w:ascii="黑体" w:hAnsi="黑体" w:eastAsia="黑体" w:cs="黑体"/>
          <w:sz w:val="44"/>
          <w:szCs w:val="44"/>
        </w:rPr>
        <w:t>《低压集抄通信运维工具技术规范》</w:t>
      </w:r>
      <w:r>
        <w:rPr>
          <w:rFonts w:hint="eastAsia" w:ascii="黑体" w:hAnsi="黑体" w:eastAsia="黑体" w:cs="黑体"/>
          <w:sz w:val="44"/>
          <w:szCs w:val="44"/>
        </w:rPr>
        <w:br w:type="textWrapping"/>
      </w:r>
    </w:p>
    <w:p w14:paraId="6E337303">
      <w:pPr>
        <w:pStyle w:val="22"/>
        <w:spacing w:line="360" w:lineRule="auto"/>
        <w:ind w:firstLine="0" w:firstLineChars="0"/>
        <w:jc w:val="center"/>
        <w:rPr>
          <w:rFonts w:hint="eastAsia" w:ascii="黑体" w:hAnsi="黑体" w:eastAsia="黑体" w:cs="黑体"/>
          <w:sz w:val="44"/>
          <w:szCs w:val="44"/>
        </w:rPr>
      </w:pPr>
      <w:r>
        <w:rPr>
          <w:rFonts w:hint="eastAsia" w:ascii="黑体" w:hAnsi="黑体" w:eastAsia="黑体" w:cs="黑体"/>
          <w:sz w:val="44"/>
          <w:szCs w:val="44"/>
        </w:rPr>
        <w:t>编制说明</w:t>
      </w:r>
      <w:bookmarkEnd w:id="0"/>
    </w:p>
    <w:p w14:paraId="4DFF486E">
      <w:pPr>
        <w:pStyle w:val="22"/>
        <w:spacing w:line="360" w:lineRule="auto"/>
        <w:ind w:firstLine="0" w:firstLineChars="0"/>
        <w:jc w:val="center"/>
        <w:rPr>
          <w:rFonts w:hint="eastAsia" w:ascii="黑体" w:hAnsi="黑体" w:eastAsia="黑体" w:cs="黑体"/>
          <w:sz w:val="44"/>
          <w:szCs w:val="44"/>
        </w:rPr>
      </w:pPr>
    </w:p>
    <w:p w14:paraId="1E6A8AD4">
      <w:pPr>
        <w:pStyle w:val="22"/>
        <w:spacing w:line="360" w:lineRule="auto"/>
        <w:ind w:firstLine="0" w:firstLineChars="0"/>
        <w:jc w:val="center"/>
        <w:rPr>
          <w:rFonts w:hint="eastAsia" w:ascii="黑体" w:hAnsi="黑体" w:eastAsia="黑体" w:cs="黑体"/>
          <w:sz w:val="44"/>
          <w:szCs w:val="44"/>
        </w:rPr>
      </w:pPr>
      <w:r>
        <w:rPr>
          <w:rFonts w:hint="eastAsia" w:ascii="黑体" w:hAnsi="黑体" w:eastAsia="黑体" w:cs="黑体"/>
          <w:sz w:val="28"/>
          <w:szCs w:val="28"/>
        </w:rPr>
        <w:t>（征求意见稿）</w:t>
      </w:r>
    </w:p>
    <w:p w14:paraId="6C19ECFC">
      <w:pPr>
        <w:pStyle w:val="22"/>
        <w:spacing w:line="360" w:lineRule="auto"/>
        <w:ind w:firstLine="0" w:firstLineChars="0"/>
        <w:jc w:val="center"/>
        <w:rPr>
          <w:rFonts w:hint="eastAsia" w:ascii="黑体" w:hAnsi="黑体" w:eastAsia="黑体" w:cs="黑体"/>
          <w:sz w:val="44"/>
          <w:szCs w:val="44"/>
        </w:rPr>
      </w:pPr>
    </w:p>
    <w:p w14:paraId="79EC3898">
      <w:pPr>
        <w:pStyle w:val="22"/>
        <w:spacing w:line="360" w:lineRule="auto"/>
        <w:ind w:firstLine="0" w:firstLineChars="0"/>
        <w:jc w:val="center"/>
        <w:rPr>
          <w:rFonts w:hint="eastAsia" w:ascii="黑体" w:hAnsi="黑体" w:eastAsia="黑体" w:cs="黑体"/>
          <w:sz w:val="44"/>
          <w:szCs w:val="44"/>
        </w:rPr>
      </w:pPr>
    </w:p>
    <w:p w14:paraId="407CA7A3">
      <w:pPr>
        <w:pStyle w:val="22"/>
        <w:spacing w:line="360" w:lineRule="auto"/>
        <w:ind w:firstLine="0" w:firstLineChars="0"/>
        <w:jc w:val="center"/>
        <w:rPr>
          <w:rFonts w:hint="eastAsia" w:ascii="黑体" w:hAnsi="黑体" w:eastAsia="黑体" w:cs="黑体"/>
          <w:sz w:val="44"/>
          <w:szCs w:val="44"/>
        </w:rPr>
      </w:pPr>
      <w:r>
        <w:rPr>
          <w:rFonts w:hint="eastAsia" w:ascii="黑体" w:hAnsi="黑体" w:eastAsia="黑体" w:cs="黑体"/>
          <w:sz w:val="28"/>
          <w:szCs w:val="28"/>
          <w:lang w:val="en-US" w:eastAsia="zh-CN"/>
        </w:rPr>
        <w:t>2026.06</w:t>
      </w:r>
      <w:bookmarkStart w:id="1" w:name="_GoBack"/>
      <w:bookmarkEnd w:id="1"/>
    </w:p>
    <w:p w14:paraId="1590EFFA">
      <w:pPr>
        <w:rPr>
          <w:rFonts w:hint="eastAsia" w:ascii="黑体" w:hAnsi="黑体" w:eastAsia="黑体" w:cs="黑体"/>
          <w:sz w:val="44"/>
          <w:szCs w:val="44"/>
        </w:rPr>
      </w:pPr>
      <w:r>
        <w:rPr>
          <w:rFonts w:hint="eastAsia" w:ascii="黑体" w:hAnsi="黑体" w:eastAsia="黑体" w:cs="黑体"/>
          <w:sz w:val="44"/>
          <w:szCs w:val="44"/>
        </w:rPr>
        <w:br w:type="page"/>
      </w:r>
    </w:p>
    <w:p w14:paraId="53CE7840">
      <w:pPr>
        <w:pStyle w:val="22"/>
        <w:spacing w:before="100" w:beforeAutospacing="1" w:line="360" w:lineRule="auto"/>
        <w:ind w:firstLine="0" w:firstLineChars="0"/>
        <w:rPr>
          <w:b/>
          <w:sz w:val="24"/>
          <w:szCs w:val="24"/>
        </w:rPr>
      </w:pPr>
      <w:r>
        <w:rPr>
          <w:rFonts w:hint="eastAsia"/>
          <w:b/>
          <w:sz w:val="24"/>
          <w:szCs w:val="24"/>
        </w:rPr>
        <w:t>一、工作简况</w:t>
      </w:r>
    </w:p>
    <w:p w14:paraId="126338C4">
      <w:pPr>
        <w:pStyle w:val="22"/>
        <w:spacing w:line="360" w:lineRule="auto"/>
        <w:ind w:left="420" w:firstLine="0" w:firstLineChars="0"/>
        <w:rPr>
          <w:b/>
          <w:sz w:val="24"/>
          <w:szCs w:val="24"/>
        </w:rPr>
      </w:pPr>
      <w:r>
        <w:rPr>
          <w:rFonts w:ascii="宋体" w:hAnsi="宋体" w:cs="宋体"/>
          <w:sz w:val="24"/>
          <w:szCs w:val="24"/>
        </w:rPr>
        <w:t>1</w:t>
      </w:r>
      <w:r>
        <w:rPr>
          <w:rFonts w:hint="eastAsia" w:ascii="宋体" w:hAnsi="宋体" w:cs="宋体"/>
          <w:sz w:val="24"/>
          <w:szCs w:val="24"/>
        </w:rPr>
        <w:t xml:space="preserve"> </w:t>
      </w:r>
      <w:r>
        <w:rPr>
          <w:rFonts w:ascii="宋体" w:hAnsi="宋体" w:cs="宋体"/>
          <w:sz w:val="24"/>
          <w:szCs w:val="24"/>
        </w:rPr>
        <w:t xml:space="preserve"> </w:t>
      </w:r>
      <w:r>
        <w:rPr>
          <w:rFonts w:hint="eastAsia"/>
          <w:b/>
          <w:sz w:val="24"/>
          <w:szCs w:val="24"/>
          <w:lang w:val="en-US" w:eastAsia="zh-CN"/>
        </w:rPr>
        <w:t>任务</w:t>
      </w:r>
      <w:r>
        <w:rPr>
          <w:rFonts w:hint="eastAsia"/>
          <w:b/>
          <w:sz w:val="24"/>
          <w:szCs w:val="24"/>
        </w:rPr>
        <w:t>来源</w:t>
      </w:r>
    </w:p>
    <w:p w14:paraId="2E80A466">
      <w:pPr>
        <w:spacing w:line="400" w:lineRule="exact"/>
        <w:ind w:firstLine="480" w:firstLineChars="20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本团体标准根据中国仪器仪表行业协会关于同意关于《电能表检定系统核查设备技术规范》等6项团体标准立项的批复（中仪协 [2024]12号）文件立项，项目编号为：</w:t>
      </w:r>
      <w:r>
        <w:rPr>
          <w:rFonts w:hint="eastAsia" w:ascii="宋体"/>
          <w:kern w:val="0"/>
          <w:sz w:val="24"/>
        </w:rPr>
        <w:t>T/CIMA 01</w:t>
      </w:r>
      <w:r>
        <w:rPr>
          <w:rFonts w:hint="eastAsia" w:ascii="宋体"/>
          <w:kern w:val="0"/>
          <w:sz w:val="24"/>
          <w:lang w:val="en-US" w:eastAsia="zh-CN"/>
        </w:rPr>
        <w:t>68</w:t>
      </w:r>
      <w:r>
        <w:rPr>
          <w:rFonts w:hint="eastAsia" w:asciiTheme="majorEastAsia" w:hAnsiTheme="majorEastAsia" w:eastAsiaTheme="majorEastAsia" w:cstheme="majorEastAsia"/>
          <w:color w:val="auto"/>
          <w:sz w:val="24"/>
          <w:szCs w:val="24"/>
        </w:rPr>
        <w:t>，由中国仪器仪表行业协会电工仪器仪表分会提出，中国仪器仪表行业协会归口。计划</w:t>
      </w:r>
      <w:r>
        <w:rPr>
          <w:rFonts w:hint="eastAsia" w:asciiTheme="majorEastAsia" w:hAnsiTheme="majorEastAsia" w:eastAsiaTheme="majorEastAsia" w:cstheme="majorEastAsia"/>
          <w:color w:val="auto"/>
          <w:sz w:val="24"/>
          <w:szCs w:val="24"/>
          <w:lang w:val="en-US" w:eastAsia="zh-CN"/>
        </w:rPr>
        <w:t>完成</w:t>
      </w:r>
      <w:r>
        <w:rPr>
          <w:rFonts w:hint="eastAsia" w:asciiTheme="majorEastAsia" w:hAnsiTheme="majorEastAsia" w:eastAsiaTheme="majorEastAsia" w:cstheme="majorEastAsia"/>
          <w:color w:val="auto"/>
          <w:sz w:val="24"/>
          <w:szCs w:val="24"/>
        </w:rPr>
        <w:t>时间为202</w:t>
      </w:r>
      <w:r>
        <w:rPr>
          <w:rFonts w:hint="eastAsia" w:asciiTheme="majorEastAsia" w:hAnsiTheme="majorEastAsia" w:eastAsiaTheme="majorEastAsia" w:cstheme="majorEastAsia"/>
          <w:color w:val="auto"/>
          <w:sz w:val="24"/>
          <w:szCs w:val="24"/>
          <w:lang w:val="en-US" w:eastAsia="zh-CN"/>
        </w:rPr>
        <w:t>6</w:t>
      </w:r>
      <w:r>
        <w:rPr>
          <w:rFonts w:hint="eastAsia" w:asciiTheme="majorEastAsia" w:hAnsiTheme="majorEastAsia" w:eastAsiaTheme="majorEastAsia" w:cstheme="majorEastAsia"/>
          <w:color w:val="auto"/>
          <w:sz w:val="24"/>
          <w:szCs w:val="24"/>
        </w:rPr>
        <w:t>年。</w:t>
      </w:r>
    </w:p>
    <w:p w14:paraId="529BAFE1">
      <w:pPr>
        <w:pStyle w:val="22"/>
        <w:spacing w:line="360" w:lineRule="auto"/>
        <w:ind w:left="420" w:firstLine="0" w:firstLineChars="0"/>
        <w:rPr>
          <w:b/>
          <w:sz w:val="24"/>
          <w:szCs w:val="24"/>
        </w:rPr>
      </w:pPr>
      <w:r>
        <w:rPr>
          <w:rFonts w:hint="eastAsia"/>
          <w:b/>
          <w:sz w:val="24"/>
          <w:szCs w:val="24"/>
          <w:lang w:val="en-US" w:eastAsia="zh-CN"/>
        </w:rPr>
        <w:t>2</w:t>
      </w:r>
      <w:r>
        <w:rPr>
          <w:rFonts w:hint="eastAsia"/>
          <w:b/>
          <w:sz w:val="24"/>
          <w:szCs w:val="24"/>
        </w:rPr>
        <w:t xml:space="preserve"> 主要工作过程</w:t>
      </w:r>
    </w:p>
    <w:p w14:paraId="6C2BB33C">
      <w:pPr>
        <w:spacing w:line="400" w:lineRule="exact"/>
        <w:ind w:firstLine="482" w:firstLineChars="200"/>
        <w:rPr>
          <w:rFonts w:hint="default" w:asciiTheme="majorEastAsia" w:hAnsiTheme="majorEastAsia" w:eastAsiaTheme="majorEastAsia" w:cstheme="majorEastAsia"/>
          <w:color w:val="auto"/>
          <w:sz w:val="24"/>
          <w:szCs w:val="24"/>
          <w:lang w:val="en-US" w:eastAsia="zh-CN"/>
        </w:rPr>
      </w:pPr>
      <w:r>
        <w:rPr>
          <w:rFonts w:hint="eastAsia" w:asciiTheme="majorEastAsia" w:hAnsiTheme="majorEastAsia" w:eastAsiaTheme="majorEastAsia" w:cstheme="majorEastAsia"/>
          <w:b/>
          <w:bCs/>
          <w:color w:val="auto"/>
          <w:sz w:val="24"/>
          <w:szCs w:val="24"/>
        </w:rPr>
        <w:t>202</w:t>
      </w:r>
      <w:r>
        <w:rPr>
          <w:rFonts w:hint="eastAsia" w:asciiTheme="majorEastAsia" w:hAnsiTheme="majorEastAsia" w:eastAsiaTheme="majorEastAsia" w:cstheme="majorEastAsia"/>
          <w:b/>
          <w:bCs/>
          <w:color w:val="auto"/>
          <w:sz w:val="24"/>
          <w:szCs w:val="24"/>
          <w:lang w:val="en-US" w:eastAsia="zh-CN"/>
        </w:rPr>
        <w:t>4</w:t>
      </w:r>
      <w:r>
        <w:rPr>
          <w:rFonts w:hint="eastAsia" w:asciiTheme="majorEastAsia" w:hAnsiTheme="majorEastAsia" w:eastAsiaTheme="majorEastAsia" w:cstheme="majorEastAsia"/>
          <w:b/>
          <w:bCs/>
          <w:color w:val="auto"/>
          <w:sz w:val="24"/>
          <w:szCs w:val="24"/>
        </w:rPr>
        <w:t>年</w:t>
      </w:r>
      <w:r>
        <w:rPr>
          <w:rFonts w:hint="eastAsia" w:asciiTheme="majorEastAsia" w:hAnsiTheme="majorEastAsia" w:eastAsiaTheme="majorEastAsia" w:cstheme="majorEastAsia"/>
          <w:b/>
          <w:bCs/>
          <w:color w:val="auto"/>
          <w:sz w:val="24"/>
          <w:szCs w:val="24"/>
          <w:lang w:val="en-US" w:eastAsia="zh-CN"/>
        </w:rPr>
        <w:t>6</w:t>
      </w:r>
      <w:r>
        <w:rPr>
          <w:rFonts w:hint="eastAsia" w:asciiTheme="majorEastAsia" w:hAnsiTheme="majorEastAsia" w:eastAsiaTheme="majorEastAsia" w:cstheme="majorEastAsia"/>
          <w:b/>
          <w:bCs/>
          <w:color w:val="auto"/>
          <w:sz w:val="24"/>
          <w:szCs w:val="24"/>
        </w:rPr>
        <w:t>月：</w:t>
      </w:r>
      <w:r>
        <w:rPr>
          <w:rFonts w:hint="eastAsia" w:asciiTheme="majorEastAsia" w:hAnsiTheme="majorEastAsia" w:eastAsiaTheme="majorEastAsia" w:cstheme="majorEastAsia"/>
          <w:color w:val="auto"/>
          <w:sz w:val="24"/>
          <w:szCs w:val="24"/>
        </w:rPr>
        <w:t>中国仪器仪表行业协会下达了立项的批复，由</w:t>
      </w:r>
      <w:r>
        <w:rPr>
          <w:rFonts w:hint="eastAsia" w:asciiTheme="majorEastAsia" w:hAnsiTheme="majorEastAsia" w:eastAsiaTheme="majorEastAsia" w:cstheme="majorEastAsia"/>
          <w:color w:val="auto"/>
          <w:sz w:val="24"/>
          <w:szCs w:val="24"/>
          <w:lang w:val="en-US" w:eastAsia="zh-CN"/>
        </w:rPr>
        <w:t>广东电网有限责任公司计量中心</w:t>
      </w:r>
      <w:r>
        <w:rPr>
          <w:rFonts w:hint="eastAsia" w:asciiTheme="majorEastAsia" w:hAnsiTheme="majorEastAsia" w:eastAsiaTheme="majorEastAsia" w:cstheme="majorEastAsia"/>
          <w:color w:val="auto"/>
          <w:sz w:val="24"/>
          <w:szCs w:val="24"/>
        </w:rPr>
        <w:t>牵头，组织成立标准起草工作组。</w:t>
      </w:r>
    </w:p>
    <w:p w14:paraId="75888B0A">
      <w:pPr>
        <w:spacing w:line="400" w:lineRule="exact"/>
        <w:ind w:firstLine="482" w:firstLineChars="20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b/>
          <w:bCs/>
          <w:color w:val="auto"/>
          <w:sz w:val="24"/>
          <w:szCs w:val="24"/>
        </w:rPr>
        <w:t>2025年3月</w:t>
      </w:r>
      <w:r>
        <w:rPr>
          <w:rFonts w:hint="eastAsia" w:asciiTheme="majorEastAsia" w:hAnsiTheme="majorEastAsia" w:eastAsiaTheme="majorEastAsia" w:cstheme="majorEastAsia"/>
          <w:b/>
          <w:bCs/>
          <w:color w:val="auto"/>
          <w:sz w:val="24"/>
          <w:szCs w:val="24"/>
          <w:lang w:eastAsia="zh-CN"/>
        </w:rPr>
        <w:t>：</w:t>
      </w:r>
      <w:r>
        <w:rPr>
          <w:rFonts w:hint="eastAsia" w:asciiTheme="majorEastAsia" w:hAnsiTheme="majorEastAsia" w:eastAsiaTheme="majorEastAsia" w:cstheme="majorEastAsia"/>
          <w:color w:val="auto"/>
          <w:sz w:val="24"/>
          <w:szCs w:val="24"/>
        </w:rPr>
        <w:t>在</w:t>
      </w:r>
      <w:r>
        <w:rPr>
          <w:rFonts w:hint="eastAsia" w:asciiTheme="majorEastAsia" w:hAnsiTheme="majorEastAsia" w:eastAsiaTheme="majorEastAsia" w:cstheme="majorEastAsia"/>
          <w:color w:val="auto"/>
          <w:sz w:val="24"/>
          <w:szCs w:val="24"/>
          <w:lang w:val="en-US" w:eastAsia="zh-CN"/>
        </w:rPr>
        <w:t>宁夏</w:t>
      </w:r>
      <w:r>
        <w:rPr>
          <w:rFonts w:hint="eastAsia" w:asciiTheme="majorEastAsia" w:hAnsiTheme="majorEastAsia" w:eastAsiaTheme="majorEastAsia" w:cstheme="majorEastAsia"/>
          <w:color w:val="auto"/>
          <w:sz w:val="24"/>
          <w:szCs w:val="24"/>
        </w:rPr>
        <w:t>省</w:t>
      </w:r>
      <w:r>
        <w:rPr>
          <w:rFonts w:hint="eastAsia" w:asciiTheme="majorEastAsia" w:hAnsiTheme="majorEastAsia" w:eastAsiaTheme="majorEastAsia" w:cstheme="majorEastAsia"/>
          <w:color w:val="auto"/>
          <w:sz w:val="24"/>
          <w:szCs w:val="24"/>
          <w:lang w:val="en-US" w:eastAsia="zh-CN"/>
        </w:rPr>
        <w:t>银川</w:t>
      </w:r>
      <w:r>
        <w:rPr>
          <w:rFonts w:hint="eastAsia" w:asciiTheme="majorEastAsia" w:hAnsiTheme="majorEastAsia" w:eastAsiaTheme="majorEastAsia" w:cstheme="majorEastAsia"/>
          <w:color w:val="auto"/>
          <w:sz w:val="24"/>
          <w:szCs w:val="24"/>
        </w:rPr>
        <w:t>市召开了标准</w:t>
      </w:r>
      <w:r>
        <w:rPr>
          <w:rFonts w:hint="eastAsia" w:asciiTheme="majorEastAsia" w:hAnsiTheme="majorEastAsia" w:eastAsiaTheme="majorEastAsia" w:cstheme="majorEastAsia"/>
          <w:b/>
          <w:bCs/>
          <w:color w:val="auto"/>
          <w:sz w:val="24"/>
          <w:szCs w:val="24"/>
          <w:lang w:val="en-US" w:eastAsia="zh-CN"/>
        </w:rPr>
        <w:t>第一次工作组会议</w:t>
      </w:r>
      <w:r>
        <w:rPr>
          <w:rFonts w:hint="eastAsia" w:asciiTheme="majorEastAsia" w:hAnsiTheme="majorEastAsia" w:eastAsiaTheme="majorEastAsia" w:cstheme="majorEastAsia"/>
          <w:color w:val="auto"/>
          <w:sz w:val="24"/>
          <w:szCs w:val="24"/>
        </w:rPr>
        <w:t>，会上标准牵头单位对标准的制修订计划介绍，并对标准草案稿进行了充分的讨论。</w:t>
      </w:r>
    </w:p>
    <w:p w14:paraId="742367D0">
      <w:pPr>
        <w:spacing w:line="400" w:lineRule="exact"/>
        <w:ind w:firstLine="482" w:firstLineChars="20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b/>
          <w:bCs/>
          <w:color w:val="auto"/>
          <w:sz w:val="24"/>
          <w:szCs w:val="24"/>
        </w:rPr>
        <w:t>2025年11月</w:t>
      </w:r>
      <w:r>
        <w:rPr>
          <w:rFonts w:hint="eastAsia" w:asciiTheme="majorEastAsia" w:hAnsiTheme="majorEastAsia" w:eastAsiaTheme="majorEastAsia" w:cstheme="majorEastAsia"/>
          <w:b/>
          <w:bCs/>
          <w:color w:val="auto"/>
          <w:sz w:val="24"/>
          <w:szCs w:val="24"/>
          <w:lang w:eastAsia="zh-CN"/>
        </w:rPr>
        <w:t>：</w:t>
      </w:r>
      <w:r>
        <w:rPr>
          <w:rFonts w:hint="eastAsia" w:asciiTheme="majorEastAsia" w:hAnsiTheme="majorEastAsia" w:eastAsiaTheme="majorEastAsia" w:cstheme="majorEastAsia"/>
          <w:color w:val="auto"/>
          <w:sz w:val="24"/>
          <w:szCs w:val="24"/>
        </w:rPr>
        <w:t>在湖北省武汉市召开了标准</w:t>
      </w:r>
      <w:r>
        <w:rPr>
          <w:rFonts w:hint="eastAsia" w:asciiTheme="majorEastAsia" w:hAnsiTheme="majorEastAsia" w:eastAsiaTheme="majorEastAsia" w:cstheme="majorEastAsia"/>
          <w:b/>
          <w:bCs/>
          <w:color w:val="auto"/>
          <w:sz w:val="24"/>
          <w:szCs w:val="24"/>
          <w:lang w:val="en-US" w:eastAsia="zh-CN"/>
        </w:rPr>
        <w:t>第二次</w:t>
      </w:r>
      <w:r>
        <w:rPr>
          <w:rFonts w:hint="eastAsia" w:asciiTheme="majorEastAsia" w:hAnsiTheme="majorEastAsia" w:eastAsiaTheme="majorEastAsia" w:cstheme="majorEastAsia"/>
          <w:b/>
          <w:bCs/>
          <w:color w:val="auto"/>
          <w:sz w:val="24"/>
          <w:szCs w:val="24"/>
        </w:rPr>
        <w:t>工作组</w:t>
      </w:r>
      <w:r>
        <w:rPr>
          <w:rFonts w:hint="eastAsia" w:asciiTheme="majorEastAsia" w:hAnsiTheme="majorEastAsia" w:eastAsiaTheme="majorEastAsia" w:cstheme="majorEastAsia"/>
          <w:b/>
          <w:bCs/>
          <w:color w:val="auto"/>
          <w:sz w:val="24"/>
          <w:szCs w:val="24"/>
          <w:lang w:val="en-US" w:eastAsia="zh-CN"/>
        </w:rPr>
        <w:t>会议</w:t>
      </w:r>
      <w:r>
        <w:rPr>
          <w:rFonts w:hint="eastAsia" w:asciiTheme="majorEastAsia" w:hAnsiTheme="majorEastAsia" w:eastAsiaTheme="majorEastAsia" w:cstheme="majorEastAsia"/>
          <w:color w:val="auto"/>
          <w:sz w:val="24"/>
          <w:szCs w:val="24"/>
        </w:rPr>
        <w:t>，会上标准牵头单位针对2025年3月标准启动会的修改意见以及各单位的意见进行了回复，并对标准工作组讨论稿进行了充分的讨论。</w:t>
      </w:r>
    </w:p>
    <w:p w14:paraId="559BFC6B">
      <w:pPr>
        <w:spacing w:line="400" w:lineRule="exact"/>
        <w:ind w:firstLine="480" w:firstLineChars="20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标准工作组根据会议上的意见以及相关单位的反馈意见，对标准条目按照GB/T20001.8—2023《标准起草规则 第8部分:评价标准》的要求进行了规范排序，并对标准的内容进行了修改和完善，形成了本标准工作讨论稿。</w:t>
      </w:r>
    </w:p>
    <w:p w14:paraId="6C5F1205">
      <w:pPr>
        <w:spacing w:line="360" w:lineRule="auto"/>
        <w:ind w:firstLine="472" w:firstLineChars="196"/>
        <w:rPr>
          <w:rFonts w:hint="eastAsia" w:ascii="宋体" w:hAnsi="宋体" w:cs="宋体"/>
          <w:bCs/>
          <w:sz w:val="24"/>
          <w:szCs w:val="24"/>
        </w:rPr>
      </w:pPr>
      <w:r>
        <w:rPr>
          <w:rFonts w:hint="eastAsia" w:ascii="宋体" w:hAnsi="宋体" w:cs="宋体"/>
          <w:b/>
          <w:bCs w:val="0"/>
          <w:sz w:val="24"/>
          <w:szCs w:val="24"/>
          <w:lang w:val="en-US" w:eastAsia="zh-CN"/>
        </w:rPr>
        <w:t>2026年5月，</w:t>
      </w:r>
      <w:r>
        <w:rPr>
          <w:rFonts w:hint="eastAsia" w:ascii="宋体" w:hAnsi="宋体" w:cs="宋体"/>
          <w:bCs/>
          <w:sz w:val="24"/>
          <w:szCs w:val="24"/>
        </w:rPr>
        <w:t>标准编制工作组根据第二次会议纪要对工作组讨论稿进行了修改完善，形成</w:t>
      </w:r>
      <w:r>
        <w:rPr>
          <w:rFonts w:hint="eastAsia" w:ascii="黑体" w:hAnsi="黑体" w:eastAsia="黑体" w:cs="黑体"/>
          <w:bCs/>
          <w:sz w:val="24"/>
          <w:szCs w:val="24"/>
        </w:rPr>
        <w:t>征求意见稿</w:t>
      </w:r>
      <w:r>
        <w:rPr>
          <w:rFonts w:hint="eastAsia" w:ascii="宋体" w:hAnsi="宋体" w:cs="宋体"/>
          <w:bCs/>
          <w:sz w:val="24"/>
          <w:szCs w:val="24"/>
        </w:rPr>
        <w:t>、征求意见稿编制说明、征求意见汇总处理表。</w:t>
      </w:r>
    </w:p>
    <w:p w14:paraId="2F840043">
      <w:pPr>
        <w:pStyle w:val="3"/>
        <w:rPr>
          <w:rFonts w:hint="eastAsia"/>
        </w:rPr>
      </w:pPr>
    </w:p>
    <w:p w14:paraId="6EAC7CCF">
      <w:pPr>
        <w:pStyle w:val="22"/>
        <w:spacing w:line="360" w:lineRule="auto"/>
        <w:ind w:left="420" w:firstLine="0" w:firstLineChars="0"/>
        <w:rPr>
          <w:b/>
          <w:sz w:val="24"/>
          <w:szCs w:val="24"/>
        </w:rPr>
      </w:pPr>
      <w:r>
        <w:rPr>
          <w:rFonts w:hint="eastAsia"/>
          <w:b/>
          <w:sz w:val="24"/>
          <w:szCs w:val="24"/>
          <w:lang w:val="en-US" w:eastAsia="zh-CN"/>
        </w:rPr>
        <w:t>3</w:t>
      </w:r>
      <w:r>
        <w:rPr>
          <w:rFonts w:hint="eastAsia"/>
          <w:b/>
          <w:sz w:val="24"/>
          <w:szCs w:val="24"/>
        </w:rPr>
        <w:t xml:space="preserve"> 标准主要起草单位和工作组成员及其所做工作</w:t>
      </w:r>
    </w:p>
    <w:p w14:paraId="3CE0C297">
      <w:pPr>
        <w:keepNext w:val="0"/>
        <w:keepLines w:val="0"/>
        <w:pageBreakBefore w:val="0"/>
        <w:kinsoku/>
        <w:wordWrap/>
        <w:overflowPunct/>
        <w:topLinePunct w:val="0"/>
        <w:bidi w:val="0"/>
        <w:adjustRightInd/>
        <w:snapToGrid/>
        <w:spacing w:line="400" w:lineRule="exact"/>
        <w:ind w:firstLine="480" w:firstLineChars="200"/>
        <w:textAlignment w:val="auto"/>
        <w:rPr>
          <w:rFonts w:hint="eastAsia" w:asciiTheme="majorEastAsia" w:hAnsiTheme="majorEastAsia" w:eastAsiaTheme="majorEastAsia" w:cstheme="majorEastAsia"/>
          <w:sz w:val="24"/>
          <w:szCs w:val="24"/>
          <w:lang w:val="en-US" w:eastAsia="zh-CN"/>
        </w:rPr>
      </w:pPr>
      <w:r>
        <w:rPr>
          <w:rFonts w:hint="eastAsia" w:ascii="Times New Roman" w:hAnsi="Times New Roman"/>
          <w:sz w:val="24"/>
          <w:szCs w:val="24"/>
        </w:rPr>
        <w:t>标准</w:t>
      </w:r>
      <w:r>
        <w:rPr>
          <w:rFonts w:ascii="Times New Roman" w:hAnsi="Times New Roman"/>
          <w:sz w:val="24"/>
          <w:szCs w:val="24"/>
        </w:rPr>
        <w:t>牵头起草单</w:t>
      </w:r>
      <w:r>
        <w:rPr>
          <w:rFonts w:hint="eastAsia" w:asciiTheme="majorEastAsia" w:hAnsiTheme="majorEastAsia" w:eastAsiaTheme="majorEastAsia" w:cstheme="majorEastAsia"/>
          <w:sz w:val="24"/>
          <w:szCs w:val="24"/>
          <w:lang w:val="en-US" w:eastAsia="zh-CN"/>
        </w:rPr>
        <w:t>位是广东电网有限责任公司计量中心，主要起草单位有哈尔滨电工仪表研究所有限公司、广东电网有限责任公司、深圳市力合微电子股份有限公司、宁夏隆基宁光仪表股份有限公司、青岛鼎信通讯股份有限公司、珠海中慧微电子有限公司等。</w:t>
      </w:r>
    </w:p>
    <w:p w14:paraId="7EB3D703">
      <w:pPr>
        <w:keepNext w:val="0"/>
        <w:keepLines w:val="0"/>
        <w:pageBreakBefore w:val="0"/>
        <w:kinsoku/>
        <w:wordWrap/>
        <w:overflowPunct/>
        <w:topLinePunct w:val="0"/>
        <w:bidi w:val="0"/>
        <w:adjustRightInd/>
        <w:snapToGrid/>
        <w:spacing w:line="400" w:lineRule="exact"/>
        <w:ind w:firstLine="480" w:firstLineChars="200"/>
        <w:textAlignment w:val="auto"/>
        <w:rPr>
          <w:rFonts w:ascii="Times New Roman"/>
          <w:sz w:val="24"/>
          <w:szCs w:val="24"/>
        </w:rPr>
      </w:pPr>
      <w:r>
        <w:rPr>
          <w:rFonts w:hint="eastAsia" w:asciiTheme="majorEastAsia" w:hAnsiTheme="majorEastAsia" w:eastAsiaTheme="majorEastAsia" w:cstheme="majorEastAsia"/>
          <w:sz w:val="24"/>
          <w:szCs w:val="24"/>
          <w:lang w:val="en-US" w:eastAsia="zh-CN"/>
        </w:rPr>
        <w:t>广东电网有限责任公司计量中心</w:t>
      </w:r>
      <w:r>
        <w:rPr>
          <w:rFonts w:ascii="Times New Roman"/>
          <w:sz w:val="24"/>
          <w:szCs w:val="24"/>
        </w:rPr>
        <w:t>作为执笔单位负责了本标准的工作组讨论稿和征求意见稿的起草、修改工作。</w:t>
      </w:r>
    </w:p>
    <w:p w14:paraId="025BBFF6">
      <w:pPr>
        <w:pStyle w:val="22"/>
        <w:keepNext w:val="0"/>
        <w:keepLines w:val="0"/>
        <w:pageBreakBefore w:val="0"/>
        <w:tabs>
          <w:tab w:val="center" w:pos="4201"/>
          <w:tab w:val="right" w:leader="dot" w:pos="9298"/>
        </w:tabs>
        <w:kinsoku/>
        <w:wordWrap/>
        <w:overflowPunct/>
        <w:topLinePunct w:val="0"/>
        <w:bidi w:val="0"/>
        <w:adjustRightInd/>
        <w:snapToGrid/>
        <w:spacing w:line="400" w:lineRule="exact"/>
        <w:ind w:firstLine="480"/>
        <w:textAlignment w:val="auto"/>
        <w:rPr>
          <w:rFonts w:ascii="Times New Roman"/>
          <w:sz w:val="24"/>
          <w:szCs w:val="24"/>
        </w:rPr>
      </w:pPr>
      <w:r>
        <w:rPr>
          <w:rFonts w:ascii="Times New Roman"/>
          <w:sz w:val="24"/>
          <w:szCs w:val="24"/>
        </w:rPr>
        <w:t>本标准主要起草人：</w:t>
      </w:r>
      <w:r>
        <w:rPr>
          <w:rFonts w:hint="eastAsia" w:ascii="Calibri" w:hAnsi="宋体" w:cs="宋体"/>
          <w:kern w:val="2"/>
          <w:sz w:val="24"/>
          <w:szCs w:val="24"/>
          <w:lang w:val="en-US" w:eastAsia="zh-CN"/>
        </w:rPr>
        <w:t>吴佳享、宋强、陈康、张捷、赵闻、姜琨</w:t>
      </w:r>
      <w:r>
        <w:rPr>
          <w:rFonts w:hint="eastAsia" w:ascii="Calibri" w:hAnsi="宋体" w:cs="宋体"/>
          <w:kern w:val="2"/>
          <w:sz w:val="24"/>
          <w:szCs w:val="24"/>
        </w:rPr>
        <w:t>等。</w:t>
      </w:r>
    </w:p>
    <w:p w14:paraId="6B3CCADC">
      <w:pPr>
        <w:keepNext w:val="0"/>
        <w:keepLines w:val="0"/>
        <w:pageBreakBefore w:val="0"/>
        <w:kinsoku/>
        <w:wordWrap/>
        <w:overflowPunct/>
        <w:topLinePunct w:val="0"/>
        <w:bidi w:val="0"/>
        <w:adjustRightInd/>
        <w:snapToGrid/>
        <w:spacing w:line="400" w:lineRule="exact"/>
        <w:ind w:firstLine="480" w:firstLineChars="200"/>
        <w:textAlignment w:val="auto"/>
        <w:rPr>
          <w:rFonts w:ascii="Times New Roman" w:hAnsi="Times New Roman"/>
          <w:kern w:val="0"/>
          <w:sz w:val="24"/>
          <w:szCs w:val="24"/>
        </w:rPr>
      </w:pPr>
      <w:r>
        <w:rPr>
          <w:rFonts w:hint="eastAsia"/>
          <w:kern w:val="0"/>
          <w:sz w:val="24"/>
          <w:szCs w:val="24"/>
          <w:lang w:val="en-US" w:eastAsia="zh-CN"/>
        </w:rPr>
        <w:t>吴佳享</w:t>
      </w:r>
      <w:r>
        <w:rPr>
          <w:rFonts w:hint="eastAsia" w:ascii="Times New Roman" w:hAnsi="Times New Roman"/>
          <w:kern w:val="0"/>
          <w:sz w:val="24"/>
          <w:szCs w:val="24"/>
        </w:rPr>
        <w:t>为本标准的主笔人，负责标准的编写，</w:t>
      </w:r>
      <w:r>
        <w:rPr>
          <w:rFonts w:hint="eastAsia"/>
          <w:kern w:val="0"/>
          <w:sz w:val="24"/>
          <w:szCs w:val="24"/>
          <w:lang w:val="en-US" w:eastAsia="zh-CN"/>
        </w:rPr>
        <w:t>宋强</w:t>
      </w:r>
      <w:r>
        <w:rPr>
          <w:rFonts w:hint="eastAsia" w:ascii="Times New Roman" w:hAnsi="Times New Roman"/>
          <w:kern w:val="0"/>
          <w:sz w:val="24"/>
          <w:szCs w:val="24"/>
        </w:rPr>
        <w:t>为本标准起草工作组的组长，负责标准的编写进程和组织协调工作。</w:t>
      </w:r>
      <w:r>
        <w:rPr>
          <w:rFonts w:hint="eastAsia" w:ascii="Calibri" w:hAnsi="宋体" w:cs="宋体"/>
          <w:kern w:val="2"/>
          <w:sz w:val="24"/>
          <w:szCs w:val="24"/>
          <w:lang w:val="en-US" w:eastAsia="zh-CN"/>
        </w:rPr>
        <w:t>陈康、姜琨、张捷、赵闻</w:t>
      </w:r>
      <w:r>
        <w:rPr>
          <w:rFonts w:hint="eastAsia" w:ascii="Times New Roman" w:hAnsi="Times New Roman"/>
          <w:kern w:val="0"/>
          <w:sz w:val="24"/>
          <w:szCs w:val="24"/>
        </w:rPr>
        <w:t>等为本标准起草工作组的组员</w:t>
      </w:r>
      <w:r>
        <w:rPr>
          <w:rFonts w:hint="eastAsia"/>
          <w:kern w:val="0"/>
          <w:sz w:val="24"/>
          <w:szCs w:val="24"/>
          <w:lang w:eastAsia="zh-CN"/>
        </w:rPr>
        <w:t>，</w:t>
      </w:r>
      <w:r>
        <w:rPr>
          <w:rFonts w:hint="eastAsia" w:ascii="Calibri" w:hAnsi="宋体" w:cs="宋体"/>
          <w:kern w:val="2"/>
          <w:sz w:val="24"/>
          <w:szCs w:val="24"/>
          <w:lang w:val="en-US" w:eastAsia="zh-CN"/>
        </w:rPr>
        <w:t>陈康主要负责第1章~第4章编制，姜琨主要负责第5章~第7章编制，张捷、赵闻主要负责附录资料编制。</w:t>
      </w:r>
    </w:p>
    <w:p w14:paraId="66318DB6">
      <w:pPr>
        <w:pStyle w:val="22"/>
        <w:spacing w:before="100" w:beforeAutospacing="1" w:line="360" w:lineRule="auto"/>
        <w:ind w:firstLine="0" w:firstLineChars="0"/>
        <w:rPr>
          <w:b/>
          <w:sz w:val="24"/>
          <w:szCs w:val="24"/>
        </w:rPr>
      </w:pPr>
      <w:r>
        <w:rPr>
          <w:rFonts w:hint="eastAsia"/>
          <w:b/>
          <w:sz w:val="24"/>
          <w:szCs w:val="24"/>
        </w:rPr>
        <w:t>二、标准编制原则、主要内容的论据及与原标准的主要差异和水平对比</w:t>
      </w:r>
    </w:p>
    <w:p w14:paraId="297570C4">
      <w:pPr>
        <w:pStyle w:val="22"/>
        <w:spacing w:line="360" w:lineRule="auto"/>
        <w:ind w:left="420" w:firstLine="0" w:firstLineChars="0"/>
        <w:rPr>
          <w:b/>
          <w:sz w:val="24"/>
          <w:szCs w:val="24"/>
        </w:rPr>
      </w:pPr>
      <w:r>
        <w:rPr>
          <w:rFonts w:hint="eastAsia"/>
          <w:b/>
          <w:sz w:val="24"/>
          <w:szCs w:val="24"/>
          <w:lang w:val="en-US" w:eastAsia="zh-CN"/>
        </w:rPr>
        <w:t>1</w:t>
      </w:r>
      <w:r>
        <w:rPr>
          <w:rFonts w:hint="eastAsia"/>
          <w:b/>
          <w:sz w:val="24"/>
          <w:szCs w:val="24"/>
        </w:rPr>
        <w:t xml:space="preserve"> 标准编制原则</w:t>
      </w:r>
    </w:p>
    <w:p w14:paraId="44903128">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ascii="宋体"/>
          <w:kern w:val="0"/>
          <w:sz w:val="24"/>
        </w:rPr>
      </w:pPr>
      <w:r>
        <w:rPr>
          <w:rFonts w:hint="eastAsia" w:ascii="宋体"/>
          <w:kern w:val="0"/>
          <w:sz w:val="24"/>
        </w:rPr>
        <w:t>本标准的格式按照GB/T 1.1-2020</w:t>
      </w:r>
      <w:r>
        <w:rPr>
          <w:rFonts w:hint="eastAsia" w:ascii="宋体" w:hAnsi="宋体"/>
          <w:kern w:val="0"/>
          <w:sz w:val="24"/>
        </w:rPr>
        <w:t>《标准化工作导则—第1部分：标准化文件的结构和起草规则》以及</w:t>
      </w:r>
      <w:r>
        <w:rPr>
          <w:rFonts w:ascii="宋体"/>
          <w:kern w:val="0"/>
          <w:sz w:val="24"/>
        </w:rPr>
        <w:t>GB/T20001.8</w:t>
      </w:r>
      <w:r>
        <w:rPr>
          <w:rFonts w:hint="eastAsia" w:ascii="宋体"/>
          <w:kern w:val="0"/>
          <w:sz w:val="24"/>
        </w:rPr>
        <w:t>—</w:t>
      </w:r>
      <w:r>
        <w:rPr>
          <w:rFonts w:ascii="宋体"/>
          <w:kern w:val="0"/>
          <w:sz w:val="24"/>
        </w:rPr>
        <w:t>2023</w:t>
      </w:r>
      <w:r>
        <w:rPr>
          <w:rFonts w:hint="eastAsia" w:ascii="宋体"/>
          <w:kern w:val="0"/>
          <w:sz w:val="24"/>
        </w:rPr>
        <w:t>《标准起草规则 第8部分:评价标准》的规定编写，其技术内容结合了国内外行业内的技术发展，体现行业内的发展趋势。</w:t>
      </w:r>
    </w:p>
    <w:p w14:paraId="54FF8391">
      <w:pPr>
        <w:pStyle w:val="22"/>
        <w:spacing w:line="360" w:lineRule="auto"/>
        <w:ind w:left="420" w:firstLine="0" w:firstLineChars="0"/>
        <w:rPr>
          <w:b/>
          <w:sz w:val="24"/>
          <w:szCs w:val="24"/>
        </w:rPr>
      </w:pPr>
      <w:r>
        <w:rPr>
          <w:rFonts w:hint="eastAsia"/>
          <w:b/>
          <w:sz w:val="24"/>
          <w:szCs w:val="24"/>
          <w:lang w:val="en-US" w:eastAsia="zh-CN"/>
        </w:rPr>
        <w:t>2</w:t>
      </w:r>
      <w:r>
        <w:rPr>
          <w:rFonts w:hint="eastAsia"/>
          <w:b/>
          <w:sz w:val="24"/>
          <w:szCs w:val="24"/>
        </w:rPr>
        <w:t xml:space="preserve"> 主要内容的论据</w:t>
      </w:r>
    </w:p>
    <w:p w14:paraId="26DF830C">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kern w:val="0"/>
          <w:sz w:val="24"/>
        </w:rPr>
      </w:pPr>
      <w:r>
        <w:rPr>
          <w:rFonts w:hint="eastAsia" w:ascii="宋体"/>
          <w:kern w:val="0"/>
          <w:sz w:val="24"/>
        </w:rPr>
        <w:t>本标准当中涉及的环境要求、机械要求、电气要求、电磁兼容性等技术要求，相关参数、指标的设定是依据了应用场景的物理环境条件、电气环境条件，以及相关国家、行业标准制定的，其中机械结构要求引用了GB/T 4208-2017《外壳防护等级（IP代码）》等相关要求；</w:t>
      </w:r>
      <w:r>
        <w:rPr>
          <w:rFonts w:hint="eastAsia" w:ascii="宋体"/>
          <w:kern w:val="0"/>
          <w:sz w:val="24"/>
          <w:lang w:val="en-US" w:eastAsia="zh-CN"/>
        </w:rPr>
        <w:t>电磁兼容性</w:t>
      </w:r>
      <w:r>
        <w:rPr>
          <w:rFonts w:hint="eastAsia" w:ascii="宋体"/>
          <w:kern w:val="0"/>
          <w:sz w:val="24"/>
        </w:rPr>
        <w:t>要求引用了GB/T 17</w:t>
      </w:r>
      <w:r>
        <w:rPr>
          <w:rFonts w:hint="eastAsia" w:ascii="宋体"/>
          <w:kern w:val="0"/>
          <w:sz w:val="24"/>
          <w:lang w:val="en-US" w:eastAsia="zh-CN"/>
        </w:rPr>
        <w:t>626.11</w:t>
      </w:r>
      <w:r>
        <w:rPr>
          <w:rFonts w:hint="eastAsia" w:ascii="宋体"/>
          <w:kern w:val="0"/>
          <w:sz w:val="24"/>
        </w:rPr>
        <w:t>-20</w:t>
      </w:r>
      <w:r>
        <w:rPr>
          <w:rFonts w:hint="eastAsia" w:ascii="宋体"/>
          <w:kern w:val="0"/>
          <w:sz w:val="24"/>
          <w:lang w:val="en-US" w:eastAsia="zh-CN"/>
        </w:rPr>
        <w:t>08</w:t>
      </w:r>
      <w:r>
        <w:rPr>
          <w:rFonts w:hint="eastAsia" w:ascii="宋体"/>
          <w:kern w:val="0"/>
          <w:sz w:val="24"/>
        </w:rPr>
        <w:t>《电磁兼容 试验和测量技术 电压暂降、短时中断和电压变化的抗扰度试验》、GB/T 172</w:t>
      </w:r>
      <w:r>
        <w:rPr>
          <w:rFonts w:hint="eastAsia" w:ascii="宋体"/>
          <w:kern w:val="0"/>
          <w:sz w:val="24"/>
          <w:lang w:val="en-US" w:eastAsia="zh-CN"/>
        </w:rPr>
        <w:t>26</w:t>
      </w:r>
      <w:r>
        <w:rPr>
          <w:rFonts w:hint="eastAsia" w:ascii="宋体"/>
          <w:kern w:val="0"/>
          <w:sz w:val="24"/>
        </w:rPr>
        <w:t>.</w:t>
      </w:r>
      <w:r>
        <w:rPr>
          <w:rFonts w:hint="eastAsia" w:ascii="宋体"/>
          <w:kern w:val="0"/>
          <w:sz w:val="24"/>
          <w:lang w:val="en-US" w:eastAsia="zh-CN"/>
        </w:rPr>
        <w:t>8</w:t>
      </w:r>
      <w:r>
        <w:rPr>
          <w:rFonts w:hint="eastAsia" w:ascii="宋体"/>
          <w:kern w:val="0"/>
          <w:sz w:val="24"/>
        </w:rPr>
        <w:t>-20</w:t>
      </w:r>
      <w:r>
        <w:rPr>
          <w:rFonts w:hint="eastAsia" w:ascii="宋体"/>
          <w:kern w:val="0"/>
          <w:sz w:val="24"/>
          <w:lang w:val="en-US" w:eastAsia="zh-CN"/>
        </w:rPr>
        <w:t>06</w:t>
      </w:r>
      <w:r>
        <w:rPr>
          <w:rFonts w:hint="eastAsia" w:ascii="宋体"/>
          <w:kern w:val="0"/>
          <w:sz w:val="24"/>
        </w:rPr>
        <w:t>《电磁兼容 试验和测量技术 工频磁场抗扰度试验》等相关要求。</w:t>
      </w:r>
    </w:p>
    <w:p w14:paraId="3085D054">
      <w:pPr>
        <w:pStyle w:val="22"/>
        <w:spacing w:line="360" w:lineRule="auto"/>
        <w:ind w:left="420" w:firstLine="0" w:firstLineChars="0"/>
        <w:rPr>
          <w:b/>
          <w:sz w:val="24"/>
          <w:szCs w:val="24"/>
        </w:rPr>
      </w:pPr>
      <w:r>
        <w:rPr>
          <w:rFonts w:hint="eastAsia"/>
          <w:b/>
          <w:sz w:val="24"/>
          <w:szCs w:val="24"/>
          <w:lang w:val="en-US" w:eastAsia="zh-CN"/>
        </w:rPr>
        <w:t>3</w:t>
      </w:r>
      <w:r>
        <w:rPr>
          <w:rFonts w:hint="eastAsia"/>
          <w:b/>
          <w:sz w:val="24"/>
          <w:szCs w:val="24"/>
        </w:rPr>
        <w:t xml:space="preserve"> 与原标准的主要差异和水平对比</w:t>
      </w:r>
    </w:p>
    <w:p w14:paraId="2B8E274F">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kern w:val="0"/>
          <w:sz w:val="24"/>
        </w:rPr>
      </w:pPr>
      <w:r>
        <w:rPr>
          <w:rFonts w:hint="eastAsia" w:ascii="宋体"/>
          <w:kern w:val="0"/>
          <w:sz w:val="24"/>
        </w:rPr>
        <w:t>标准为首次制定。</w:t>
      </w:r>
    </w:p>
    <w:p w14:paraId="3894FADF">
      <w:pPr>
        <w:pStyle w:val="22"/>
        <w:spacing w:before="100" w:beforeAutospacing="1" w:line="360" w:lineRule="auto"/>
        <w:ind w:firstLine="0" w:firstLineChars="0"/>
        <w:rPr>
          <w:b/>
          <w:sz w:val="24"/>
          <w:szCs w:val="24"/>
        </w:rPr>
      </w:pPr>
      <w:r>
        <w:rPr>
          <w:rFonts w:hint="eastAsia"/>
          <w:b/>
          <w:sz w:val="24"/>
          <w:szCs w:val="24"/>
        </w:rPr>
        <w:t>三、主要试验情况分析</w:t>
      </w:r>
    </w:p>
    <w:p w14:paraId="2D0D47FE">
      <w:pPr>
        <w:pStyle w:val="22"/>
        <w:tabs>
          <w:tab w:val="center" w:pos="4201"/>
          <w:tab w:val="right" w:leader="dot" w:pos="9298"/>
        </w:tabs>
        <w:spacing w:line="360" w:lineRule="auto"/>
        <w:ind w:firstLine="480"/>
        <w:rPr>
          <w:rFonts w:hint="eastAsia" w:ascii="Times New Roman"/>
          <w:kern w:val="2"/>
          <w:sz w:val="24"/>
          <w:szCs w:val="24"/>
        </w:rPr>
      </w:pPr>
      <w:r>
        <w:rPr>
          <w:rFonts w:hint="eastAsia" w:ascii="Times New Roman"/>
          <w:kern w:val="2"/>
          <w:sz w:val="24"/>
          <w:szCs w:val="24"/>
        </w:rPr>
        <w:t>在本标准起草工作过程中，委托部分企业对标准中的主要指标分别进行了验证试验。由</w:t>
      </w:r>
      <w:r>
        <w:rPr>
          <w:rFonts w:hint="eastAsia" w:ascii="宋体" w:hAnsi="宋体" w:eastAsia="宋体" w:cs="宋体"/>
          <w:sz w:val="24"/>
          <w:szCs w:val="24"/>
          <w:highlight w:val="none"/>
        </w:rPr>
        <w:t>广东电网有限责任公司计量中心</w:t>
      </w:r>
      <w:r>
        <w:rPr>
          <w:rFonts w:hint="eastAsia" w:ascii="宋体" w:hAnsi="宋体" w:eastAsia="宋体" w:cs="宋体"/>
          <w:sz w:val="24"/>
          <w:szCs w:val="24"/>
          <w:highlight w:val="none"/>
          <w:lang w:eastAsia="zh-CN"/>
        </w:rPr>
        <w:t>、</w:t>
      </w:r>
      <w:r>
        <w:rPr>
          <w:rFonts w:hint="eastAsia"/>
          <w:sz w:val="24"/>
          <w:szCs w:val="24"/>
          <w:highlight w:val="none"/>
          <w:lang w:val="en-US" w:eastAsia="zh-CN"/>
        </w:rPr>
        <w:t>深圳市力合微电子股份有限公司、深圳市友讯达科技股份有限公司、深圳市航天泰瑞捷电子有限公司</w:t>
      </w:r>
      <w:r>
        <w:rPr>
          <w:rFonts w:hint="eastAsia" w:ascii="Times New Roman"/>
          <w:kern w:val="2"/>
          <w:sz w:val="24"/>
          <w:szCs w:val="24"/>
        </w:rPr>
        <w:t>配合开展试验验证工作。</w:t>
      </w:r>
    </w:p>
    <w:p w14:paraId="051060D4">
      <w:pPr>
        <w:pStyle w:val="22"/>
        <w:tabs>
          <w:tab w:val="center" w:pos="4201"/>
          <w:tab w:val="right" w:leader="dot" w:pos="9298"/>
        </w:tabs>
        <w:spacing w:line="360" w:lineRule="auto"/>
        <w:ind w:firstLine="480"/>
        <w:rPr>
          <w:rFonts w:ascii="Times New Roman"/>
          <w:kern w:val="2"/>
          <w:sz w:val="24"/>
          <w:szCs w:val="24"/>
        </w:rPr>
      </w:pPr>
      <w:r>
        <w:rPr>
          <w:rFonts w:hint="eastAsia" w:ascii="Times New Roman"/>
          <w:kern w:val="2"/>
          <w:sz w:val="24"/>
          <w:szCs w:val="24"/>
        </w:rPr>
        <w:t>试验涵盖</w:t>
      </w:r>
      <w:r>
        <w:rPr>
          <w:rFonts w:hint="eastAsia" w:ascii="Times New Roman"/>
          <w:kern w:val="2"/>
          <w:sz w:val="24"/>
          <w:szCs w:val="24"/>
          <w:lang w:val="en-US" w:eastAsia="zh-CN"/>
        </w:rPr>
        <w:t>低压集抄运维工具</w:t>
      </w:r>
      <w:r>
        <w:rPr>
          <w:rFonts w:hint="eastAsia" w:ascii="Times New Roman"/>
          <w:kern w:val="2"/>
          <w:sz w:val="24"/>
          <w:szCs w:val="24"/>
        </w:rPr>
        <w:t>的</w:t>
      </w:r>
      <w:r>
        <w:rPr>
          <w:rFonts w:hint="eastAsia" w:ascii="Times New Roman"/>
          <w:kern w:val="2"/>
          <w:sz w:val="24"/>
          <w:szCs w:val="24"/>
          <w:lang w:val="en-US" w:eastAsia="zh-CN"/>
        </w:rPr>
        <w:t>气候适应性试验、结构和外观检查、机械试验、准确度试验、电气性能试验、电磁兼容性能试验</w:t>
      </w:r>
      <w:r>
        <w:rPr>
          <w:rFonts w:hint="eastAsia" w:ascii="Times New Roman"/>
          <w:kern w:val="2"/>
          <w:sz w:val="24"/>
          <w:szCs w:val="24"/>
        </w:rPr>
        <w:t>等测试项目</w:t>
      </w:r>
      <w:r>
        <w:rPr>
          <w:rFonts w:ascii="Times New Roman"/>
          <w:kern w:val="2"/>
          <w:sz w:val="24"/>
          <w:szCs w:val="24"/>
        </w:rPr>
        <w:t>。</w:t>
      </w:r>
    </w:p>
    <w:p w14:paraId="3E97B0C1">
      <w:pPr>
        <w:pStyle w:val="22"/>
        <w:tabs>
          <w:tab w:val="center" w:pos="4201"/>
          <w:tab w:val="right" w:leader="dot" w:pos="9298"/>
        </w:tabs>
        <w:spacing w:line="360" w:lineRule="auto"/>
        <w:ind w:firstLine="480"/>
        <w:rPr>
          <w:rFonts w:hint="eastAsia" w:ascii="Times New Roman" w:hAnsi="Times New Roman" w:eastAsia="宋体" w:cs="Times New Roman"/>
          <w:kern w:val="2"/>
          <w:sz w:val="24"/>
          <w:szCs w:val="24"/>
          <w:highlight w:val="none"/>
          <w:lang w:val="en-US" w:eastAsia="zh-CN"/>
        </w:rPr>
      </w:pPr>
      <w:r>
        <w:rPr>
          <w:rFonts w:hint="eastAsia" w:ascii="Times New Roman" w:hAnsi="Times New Roman" w:eastAsia="宋体" w:cs="Times New Roman"/>
          <w:kern w:val="2"/>
          <w:sz w:val="24"/>
          <w:szCs w:val="24"/>
          <w:lang w:val="en-US" w:eastAsia="zh-CN"/>
        </w:rPr>
        <w:t>根据</w:t>
      </w:r>
      <w:r>
        <w:rPr>
          <w:rFonts w:hint="eastAsia" w:ascii="Times New Roman"/>
          <w:kern w:val="2"/>
          <w:sz w:val="24"/>
          <w:szCs w:val="24"/>
          <w:lang w:val="en-US" w:eastAsia="zh-CN"/>
        </w:rPr>
        <w:t>低压集抄运维工具</w:t>
      </w:r>
      <w:r>
        <w:rPr>
          <w:rFonts w:hint="eastAsia" w:ascii="Times New Roman" w:hAnsi="Times New Roman" w:eastAsia="宋体" w:cs="Times New Roman"/>
          <w:kern w:val="2"/>
          <w:sz w:val="24"/>
          <w:szCs w:val="24"/>
          <w:lang w:val="en-US" w:eastAsia="zh-CN"/>
        </w:rPr>
        <w:t>技术要求条款，依据或参考了相关检测标准中提及的试验条件、试验等级、试验方法等制定本标准的试验方法。</w:t>
      </w:r>
    </w:p>
    <w:p w14:paraId="2BE79846">
      <w:pPr>
        <w:pStyle w:val="22"/>
        <w:tabs>
          <w:tab w:val="center" w:pos="4201"/>
          <w:tab w:val="right" w:leader="dot" w:pos="9298"/>
        </w:tabs>
        <w:spacing w:line="360" w:lineRule="auto"/>
        <w:ind w:firstLine="480"/>
        <w:jc w:val="center"/>
        <w:rPr>
          <w:rFonts w:hint="eastAsia" w:hAnsi="Times New Roman" w:eastAsia="宋体" w:cs="Times New Roman"/>
          <w:color w:val="auto"/>
          <w:sz w:val="24"/>
          <w:szCs w:val="24"/>
          <w:highlight w:val="none"/>
          <w:lang w:val="en-US" w:eastAsia="zh-CN"/>
        </w:rPr>
      </w:pPr>
      <w:r>
        <w:rPr>
          <w:rFonts w:hint="eastAsia" w:hAnsi="Times New Roman" w:eastAsia="宋体" w:cs="Times New Roman"/>
          <w:color w:val="auto"/>
          <w:sz w:val="24"/>
          <w:szCs w:val="24"/>
          <w:highlight w:val="none"/>
          <w:lang w:val="en-US" w:eastAsia="zh-CN"/>
        </w:rPr>
        <w:t xml:space="preserve">表 1 </w:t>
      </w:r>
      <w:r>
        <w:rPr>
          <w:rFonts w:hint="eastAsia"/>
          <w:strike w:val="0"/>
          <w:dstrike w:val="0"/>
          <w:sz w:val="24"/>
          <w:szCs w:val="24"/>
          <w:highlight w:val="none"/>
          <w:lang w:val="en-US" w:eastAsia="zh-CN"/>
        </w:rPr>
        <w:t>识别</w:t>
      </w:r>
      <w:r>
        <w:rPr>
          <w:rFonts w:hint="eastAsia"/>
          <w:strike w:val="0"/>
          <w:dstrike w:val="0"/>
          <w:sz w:val="24"/>
          <w:szCs w:val="24"/>
          <w:highlight w:val="none"/>
          <w:lang w:eastAsia="zh-Hans"/>
        </w:rPr>
        <w:t>设备</w:t>
      </w:r>
      <w:r>
        <w:rPr>
          <w:rFonts w:hint="eastAsia" w:hAnsi="Times New Roman" w:eastAsia="宋体" w:cs="Times New Roman"/>
          <w:color w:val="auto"/>
          <w:sz w:val="24"/>
          <w:szCs w:val="24"/>
          <w:highlight w:val="none"/>
          <w:lang w:val="en-US" w:eastAsia="zh-CN"/>
        </w:rPr>
        <w:t>参数测试</w:t>
      </w:r>
    </w:p>
    <w:tbl>
      <w:tblPr>
        <w:tblStyle w:val="9"/>
        <w:tblW w:w="717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40"/>
        <w:gridCol w:w="4786"/>
        <w:gridCol w:w="1650"/>
      </w:tblGrid>
      <w:tr w14:paraId="2928A2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740" w:type="dxa"/>
            <w:tcBorders>
              <w:top w:val="single" w:color="000000" w:sz="8" w:space="0"/>
              <w:left w:val="single" w:color="000000" w:sz="8" w:space="0"/>
              <w:bottom w:val="single" w:color="000000" w:sz="8" w:space="0"/>
              <w:right w:val="single" w:color="000000" w:sz="4" w:space="0"/>
            </w:tcBorders>
            <w:noWrap w:val="0"/>
            <w:vAlign w:val="center"/>
          </w:tcPr>
          <w:p w14:paraId="5328D9A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序号</w:t>
            </w:r>
          </w:p>
        </w:tc>
        <w:tc>
          <w:tcPr>
            <w:tcW w:w="4786" w:type="dxa"/>
            <w:tcBorders>
              <w:top w:val="single" w:color="000000" w:sz="8" w:space="0"/>
              <w:left w:val="single" w:color="000000" w:sz="4" w:space="0"/>
              <w:bottom w:val="single" w:color="000000" w:sz="8" w:space="0"/>
              <w:right w:val="single" w:color="000000" w:sz="4" w:space="0"/>
            </w:tcBorders>
            <w:noWrap w:val="0"/>
            <w:vAlign w:val="center"/>
          </w:tcPr>
          <w:p w14:paraId="6A09BD6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测试项目、要求、方法</w:t>
            </w:r>
          </w:p>
        </w:tc>
        <w:tc>
          <w:tcPr>
            <w:tcW w:w="1650" w:type="dxa"/>
            <w:tcBorders>
              <w:top w:val="single" w:color="000000" w:sz="8" w:space="0"/>
              <w:left w:val="single" w:color="000000" w:sz="4" w:space="0"/>
              <w:bottom w:val="single" w:color="000000" w:sz="8" w:space="0"/>
              <w:right w:val="single" w:color="000000" w:sz="8" w:space="0"/>
            </w:tcBorders>
            <w:noWrap w:val="0"/>
            <w:vAlign w:val="center"/>
          </w:tcPr>
          <w:p w14:paraId="24B3A87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与本标准一致性</w:t>
            </w:r>
          </w:p>
        </w:tc>
      </w:tr>
      <w:tr w14:paraId="040200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740" w:type="dxa"/>
            <w:tcBorders>
              <w:top w:val="single" w:color="000000" w:sz="8" w:space="0"/>
              <w:left w:val="single" w:color="000000" w:sz="8" w:space="0"/>
              <w:bottom w:val="single" w:color="000000" w:sz="4" w:space="0"/>
              <w:right w:val="single" w:color="000000" w:sz="4" w:space="0"/>
            </w:tcBorders>
            <w:noWrap w:val="0"/>
            <w:vAlign w:val="center"/>
          </w:tcPr>
          <w:p w14:paraId="7AED02A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w:t>
            </w:r>
          </w:p>
        </w:tc>
        <w:tc>
          <w:tcPr>
            <w:tcW w:w="4786" w:type="dxa"/>
            <w:tcBorders>
              <w:top w:val="single" w:color="000000" w:sz="8" w:space="0"/>
              <w:left w:val="single" w:color="000000" w:sz="4" w:space="0"/>
              <w:bottom w:val="single" w:color="000000" w:sz="4" w:space="0"/>
              <w:right w:val="single" w:color="000000" w:sz="4" w:space="0"/>
            </w:tcBorders>
            <w:shd w:val="clear" w:color="auto" w:fill="auto"/>
            <w:noWrap w:val="0"/>
            <w:vAlign w:val="center"/>
          </w:tcPr>
          <w:p w14:paraId="05D417C8">
            <w:pPr>
              <w:keepNext w:val="0"/>
              <w:keepLines w:val="0"/>
              <w:widowControl/>
              <w:suppressLineNumbers w:val="0"/>
              <w:jc w:val="left"/>
              <w:textAlignment w:val="center"/>
              <w:rPr>
                <w:rFonts w:hint="default"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en-US" w:bidi="ar"/>
              </w:rPr>
              <w:t>结构</w:t>
            </w:r>
            <w:r>
              <w:rPr>
                <w:rFonts w:hint="eastAsia" w:ascii="宋体" w:hAnsi="宋体" w:eastAsia="宋体" w:cs="宋体"/>
                <w:i w:val="0"/>
                <w:iCs w:val="0"/>
                <w:color w:val="000000"/>
                <w:kern w:val="0"/>
                <w:sz w:val="18"/>
                <w:szCs w:val="18"/>
                <w:highlight w:val="none"/>
                <w:u w:val="none"/>
                <w:lang w:val="en-US" w:eastAsia="zh-CN" w:bidi="ar"/>
              </w:rPr>
              <w:t>外观检查</w:t>
            </w:r>
          </w:p>
        </w:tc>
        <w:tc>
          <w:tcPr>
            <w:tcW w:w="1650" w:type="dxa"/>
            <w:tcBorders>
              <w:top w:val="single" w:color="000000" w:sz="8" w:space="0"/>
              <w:left w:val="single" w:color="000000" w:sz="4" w:space="0"/>
              <w:bottom w:val="single" w:color="000000" w:sz="4" w:space="0"/>
              <w:right w:val="single" w:color="000000" w:sz="8" w:space="0"/>
            </w:tcBorders>
            <w:noWrap w:val="0"/>
            <w:vAlign w:val="center"/>
          </w:tcPr>
          <w:p w14:paraId="1FAFB1B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一致</w:t>
            </w:r>
          </w:p>
        </w:tc>
      </w:tr>
      <w:tr w14:paraId="02D22F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740" w:type="dxa"/>
            <w:tcBorders>
              <w:top w:val="single" w:color="000000" w:sz="4" w:space="0"/>
              <w:left w:val="single" w:color="000000" w:sz="8" w:space="0"/>
              <w:bottom w:val="single" w:color="000000" w:sz="4" w:space="0"/>
              <w:right w:val="single" w:color="000000" w:sz="4" w:space="0"/>
            </w:tcBorders>
            <w:noWrap w:val="0"/>
            <w:vAlign w:val="center"/>
          </w:tcPr>
          <w:p w14:paraId="5DAB2454">
            <w:pPr>
              <w:keepNext w:val="0"/>
              <w:keepLines w:val="0"/>
              <w:widowControl/>
              <w:suppressLineNumbers w:val="0"/>
              <w:jc w:val="center"/>
              <w:textAlignment w:val="center"/>
              <w:rPr>
                <w:rFonts w:hint="eastAsia"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2</w:t>
            </w:r>
          </w:p>
        </w:tc>
        <w:tc>
          <w:tcPr>
            <w:tcW w:w="478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1B01CC3">
            <w:pPr>
              <w:keepNext w:val="0"/>
              <w:keepLines w:val="0"/>
              <w:widowControl/>
              <w:suppressLineNumbers w:val="0"/>
              <w:jc w:val="left"/>
              <w:textAlignment w:val="center"/>
              <w:rPr>
                <w:rFonts w:hint="default"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载波通信试验</w:t>
            </w:r>
          </w:p>
        </w:tc>
        <w:tc>
          <w:tcPr>
            <w:tcW w:w="1650" w:type="dxa"/>
            <w:tcBorders>
              <w:top w:val="single" w:color="000000" w:sz="4" w:space="0"/>
              <w:left w:val="single" w:color="000000" w:sz="4" w:space="0"/>
              <w:bottom w:val="single" w:color="000000" w:sz="4" w:space="0"/>
              <w:right w:val="single" w:color="000000" w:sz="8" w:space="0"/>
            </w:tcBorders>
            <w:noWrap w:val="0"/>
            <w:vAlign w:val="center"/>
          </w:tcPr>
          <w:p w14:paraId="48321126">
            <w:pPr>
              <w:keepNext w:val="0"/>
              <w:keepLines w:val="0"/>
              <w:widowControl/>
              <w:suppressLineNumbers w:val="0"/>
              <w:jc w:val="center"/>
              <w:textAlignment w:val="center"/>
              <w:rPr>
                <w:rFonts w:hint="eastAsia"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一致</w:t>
            </w:r>
          </w:p>
        </w:tc>
      </w:tr>
      <w:tr w14:paraId="798237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740" w:type="dxa"/>
            <w:tcBorders>
              <w:top w:val="single" w:color="000000" w:sz="4" w:space="0"/>
              <w:left w:val="single" w:color="000000" w:sz="8" w:space="0"/>
              <w:bottom w:val="single" w:color="000000" w:sz="4" w:space="0"/>
              <w:right w:val="single" w:color="000000" w:sz="4" w:space="0"/>
            </w:tcBorders>
            <w:noWrap w:val="0"/>
            <w:vAlign w:val="center"/>
          </w:tcPr>
          <w:p w14:paraId="07BE338C">
            <w:pPr>
              <w:keepNext w:val="0"/>
              <w:keepLines w:val="0"/>
              <w:widowControl/>
              <w:suppressLineNumbers w:val="0"/>
              <w:jc w:val="center"/>
              <w:textAlignment w:val="center"/>
              <w:rPr>
                <w:rFonts w:hint="eastAsia"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3</w:t>
            </w:r>
          </w:p>
        </w:tc>
        <w:tc>
          <w:tcPr>
            <w:tcW w:w="478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0622A1D">
            <w:pPr>
              <w:keepNext w:val="0"/>
              <w:keepLines w:val="0"/>
              <w:widowControl/>
              <w:suppressLineNumbers w:val="0"/>
              <w:jc w:val="left"/>
              <w:textAlignment w:val="center"/>
              <w:rPr>
                <w:rFonts w:hint="default"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载波应用功能测试</w:t>
            </w:r>
          </w:p>
        </w:tc>
        <w:tc>
          <w:tcPr>
            <w:tcW w:w="1650" w:type="dxa"/>
            <w:tcBorders>
              <w:top w:val="single" w:color="000000" w:sz="4" w:space="0"/>
              <w:left w:val="single" w:color="000000" w:sz="4" w:space="0"/>
              <w:bottom w:val="single" w:color="000000" w:sz="4" w:space="0"/>
              <w:right w:val="single" w:color="000000" w:sz="8" w:space="0"/>
            </w:tcBorders>
            <w:noWrap w:val="0"/>
            <w:vAlign w:val="center"/>
          </w:tcPr>
          <w:p w14:paraId="0938AFDC">
            <w:pPr>
              <w:keepNext w:val="0"/>
              <w:keepLines w:val="0"/>
              <w:widowControl/>
              <w:suppressLineNumbers w:val="0"/>
              <w:jc w:val="center"/>
              <w:textAlignment w:val="center"/>
              <w:rPr>
                <w:rFonts w:hint="eastAsia"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一致</w:t>
            </w:r>
          </w:p>
        </w:tc>
      </w:tr>
      <w:tr w14:paraId="119B5C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740" w:type="dxa"/>
            <w:tcBorders>
              <w:top w:val="single" w:color="000000" w:sz="4" w:space="0"/>
              <w:left w:val="single" w:color="000000" w:sz="8" w:space="0"/>
              <w:bottom w:val="single" w:color="000000" w:sz="4" w:space="0"/>
              <w:right w:val="single" w:color="000000" w:sz="4" w:space="0"/>
            </w:tcBorders>
            <w:noWrap w:val="0"/>
            <w:vAlign w:val="center"/>
          </w:tcPr>
          <w:p w14:paraId="48CE2435">
            <w:pPr>
              <w:keepNext w:val="0"/>
              <w:keepLines w:val="0"/>
              <w:widowControl/>
              <w:suppressLineNumbers w:val="0"/>
              <w:jc w:val="center"/>
              <w:textAlignment w:val="center"/>
              <w:rPr>
                <w:rFonts w:hint="eastAsia"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4</w:t>
            </w:r>
          </w:p>
        </w:tc>
        <w:tc>
          <w:tcPr>
            <w:tcW w:w="478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21080E2">
            <w:pPr>
              <w:keepNext w:val="0"/>
              <w:keepLines w:val="0"/>
              <w:widowControl/>
              <w:suppressLineNumbers w:val="0"/>
              <w:jc w:val="left"/>
              <w:textAlignment w:val="center"/>
              <w:rPr>
                <w:rFonts w:hint="default"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防火焰蔓延试验</w:t>
            </w:r>
          </w:p>
        </w:tc>
        <w:tc>
          <w:tcPr>
            <w:tcW w:w="1650" w:type="dxa"/>
            <w:tcBorders>
              <w:top w:val="single" w:color="000000" w:sz="4" w:space="0"/>
              <w:left w:val="single" w:color="000000" w:sz="4" w:space="0"/>
              <w:bottom w:val="single" w:color="000000" w:sz="4" w:space="0"/>
              <w:right w:val="single" w:color="000000" w:sz="8" w:space="0"/>
            </w:tcBorders>
            <w:noWrap w:val="0"/>
            <w:vAlign w:val="center"/>
          </w:tcPr>
          <w:p w14:paraId="6CD3C31B">
            <w:pPr>
              <w:keepNext w:val="0"/>
              <w:keepLines w:val="0"/>
              <w:widowControl/>
              <w:suppressLineNumbers w:val="0"/>
              <w:jc w:val="center"/>
              <w:textAlignment w:val="center"/>
              <w:rPr>
                <w:rFonts w:hint="eastAsia"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一致</w:t>
            </w:r>
          </w:p>
        </w:tc>
      </w:tr>
      <w:tr w14:paraId="269C8E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740" w:type="dxa"/>
            <w:tcBorders>
              <w:top w:val="single" w:color="000000" w:sz="4" w:space="0"/>
              <w:left w:val="single" w:color="000000" w:sz="8" w:space="0"/>
              <w:bottom w:val="single" w:color="000000" w:sz="4" w:space="0"/>
              <w:right w:val="single" w:color="000000" w:sz="4" w:space="0"/>
            </w:tcBorders>
            <w:noWrap w:val="0"/>
            <w:vAlign w:val="center"/>
          </w:tcPr>
          <w:p w14:paraId="6CEFEACC">
            <w:pPr>
              <w:keepNext w:val="0"/>
              <w:keepLines w:val="0"/>
              <w:widowControl/>
              <w:suppressLineNumbers w:val="0"/>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5</w:t>
            </w:r>
          </w:p>
        </w:tc>
        <w:tc>
          <w:tcPr>
            <w:tcW w:w="478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41D034B">
            <w:pPr>
              <w:keepNext w:val="0"/>
              <w:keepLines w:val="0"/>
              <w:widowControl/>
              <w:suppressLineNumbers w:val="0"/>
              <w:jc w:val="left"/>
              <w:textAlignment w:val="center"/>
              <w:rPr>
                <w:rFonts w:hint="default"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机械振动试验</w:t>
            </w:r>
          </w:p>
        </w:tc>
        <w:tc>
          <w:tcPr>
            <w:tcW w:w="1650" w:type="dxa"/>
            <w:tcBorders>
              <w:top w:val="single" w:color="000000" w:sz="4" w:space="0"/>
              <w:left w:val="single" w:color="000000" w:sz="4" w:space="0"/>
              <w:bottom w:val="single" w:color="000000" w:sz="4" w:space="0"/>
              <w:right w:val="single" w:color="000000" w:sz="8" w:space="0"/>
            </w:tcBorders>
            <w:noWrap w:val="0"/>
            <w:vAlign w:val="center"/>
          </w:tcPr>
          <w:p w14:paraId="1023A0A2">
            <w:pPr>
              <w:keepNext w:val="0"/>
              <w:keepLines w:val="0"/>
              <w:widowControl/>
              <w:suppressLineNumbers w:val="0"/>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一致</w:t>
            </w:r>
          </w:p>
        </w:tc>
      </w:tr>
      <w:tr w14:paraId="79DFC9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740" w:type="dxa"/>
            <w:tcBorders>
              <w:top w:val="single" w:color="000000" w:sz="4" w:space="0"/>
              <w:left w:val="single" w:color="000000" w:sz="8" w:space="0"/>
              <w:bottom w:val="single" w:color="auto" w:sz="4" w:space="0"/>
              <w:right w:val="single" w:color="000000" w:sz="4" w:space="0"/>
            </w:tcBorders>
            <w:noWrap w:val="0"/>
            <w:vAlign w:val="center"/>
          </w:tcPr>
          <w:p w14:paraId="3BEF4694">
            <w:pPr>
              <w:keepNext w:val="0"/>
              <w:keepLines w:val="0"/>
              <w:widowControl/>
              <w:suppressLineNumbers w:val="0"/>
              <w:jc w:val="center"/>
              <w:textAlignment w:val="center"/>
              <w:rPr>
                <w:rFonts w:hint="default"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6</w:t>
            </w:r>
          </w:p>
        </w:tc>
        <w:tc>
          <w:tcPr>
            <w:tcW w:w="4786" w:type="dxa"/>
            <w:tcBorders>
              <w:top w:val="single" w:color="000000" w:sz="4" w:space="0"/>
              <w:left w:val="single" w:color="000000" w:sz="4" w:space="0"/>
              <w:bottom w:val="single" w:color="auto" w:sz="4" w:space="0"/>
              <w:right w:val="single" w:color="000000" w:sz="4" w:space="0"/>
            </w:tcBorders>
            <w:shd w:val="clear" w:color="auto" w:fill="auto"/>
            <w:noWrap w:val="0"/>
            <w:vAlign w:val="center"/>
          </w:tcPr>
          <w:p w14:paraId="3DF4F3BB">
            <w:pPr>
              <w:keepNext w:val="0"/>
              <w:keepLines w:val="0"/>
              <w:widowControl/>
              <w:suppressLineNumbers w:val="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冲击试验</w:t>
            </w:r>
          </w:p>
        </w:tc>
        <w:tc>
          <w:tcPr>
            <w:tcW w:w="1650" w:type="dxa"/>
            <w:tcBorders>
              <w:top w:val="single" w:color="000000" w:sz="4" w:space="0"/>
              <w:left w:val="single" w:color="000000" w:sz="4" w:space="0"/>
              <w:bottom w:val="single" w:color="auto" w:sz="4" w:space="0"/>
              <w:right w:val="single" w:color="000000" w:sz="8" w:space="0"/>
            </w:tcBorders>
            <w:noWrap w:val="0"/>
            <w:vAlign w:val="center"/>
          </w:tcPr>
          <w:p w14:paraId="4C8AE1AB">
            <w:pPr>
              <w:keepNext w:val="0"/>
              <w:keepLines w:val="0"/>
              <w:widowControl/>
              <w:suppressLineNumbers w:val="0"/>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一致</w:t>
            </w:r>
          </w:p>
        </w:tc>
      </w:tr>
      <w:tr w14:paraId="4CD3EA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740" w:type="dxa"/>
            <w:tcBorders>
              <w:top w:val="single" w:color="auto" w:sz="4" w:space="0"/>
              <w:left w:val="single" w:color="auto" w:sz="4" w:space="0"/>
              <w:bottom w:val="single" w:color="auto" w:sz="4" w:space="0"/>
              <w:right w:val="single" w:color="auto" w:sz="4" w:space="0"/>
            </w:tcBorders>
            <w:noWrap w:val="0"/>
            <w:vAlign w:val="center"/>
          </w:tcPr>
          <w:p w14:paraId="69B7BDF4">
            <w:pPr>
              <w:keepNext w:val="0"/>
              <w:keepLines w:val="0"/>
              <w:widowControl/>
              <w:suppressLineNumbers w:val="0"/>
              <w:jc w:val="center"/>
              <w:textAlignment w:val="center"/>
              <w:rPr>
                <w:rFonts w:hint="default"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7</w:t>
            </w:r>
          </w:p>
        </w:tc>
        <w:tc>
          <w:tcPr>
            <w:tcW w:w="478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2B7BD50">
            <w:pPr>
              <w:keepNext w:val="0"/>
              <w:keepLines w:val="0"/>
              <w:widowControl/>
              <w:suppressLineNumbers w:val="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盐雾腐蚀试验</w:t>
            </w:r>
          </w:p>
        </w:tc>
        <w:tc>
          <w:tcPr>
            <w:tcW w:w="165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5A3B71A">
            <w:pPr>
              <w:keepNext w:val="0"/>
              <w:keepLines w:val="0"/>
              <w:widowControl/>
              <w:suppressLineNumbers w:val="0"/>
              <w:jc w:val="center"/>
              <w:textAlignment w:val="center"/>
              <w:rPr>
                <w:rFonts w:hint="eastAsia"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一致</w:t>
            </w:r>
          </w:p>
        </w:tc>
      </w:tr>
      <w:tr w14:paraId="3170C0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740" w:type="dxa"/>
            <w:tcBorders>
              <w:top w:val="single" w:color="auto" w:sz="4" w:space="0"/>
              <w:left w:val="single" w:color="auto" w:sz="4" w:space="0"/>
              <w:bottom w:val="single" w:color="auto" w:sz="4" w:space="0"/>
              <w:right w:val="single" w:color="auto" w:sz="4" w:space="0"/>
            </w:tcBorders>
            <w:noWrap w:val="0"/>
            <w:vAlign w:val="center"/>
          </w:tcPr>
          <w:p w14:paraId="6DEA9F1F">
            <w:pPr>
              <w:keepNext w:val="0"/>
              <w:keepLines w:val="0"/>
              <w:widowControl/>
              <w:suppressLineNumbers w:val="0"/>
              <w:jc w:val="center"/>
              <w:textAlignment w:val="center"/>
              <w:rPr>
                <w:rFonts w:hint="default"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8</w:t>
            </w:r>
          </w:p>
        </w:tc>
        <w:tc>
          <w:tcPr>
            <w:tcW w:w="478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098BD41">
            <w:pPr>
              <w:keepNext w:val="0"/>
              <w:keepLines w:val="0"/>
              <w:widowControl/>
              <w:suppressLineNumbers w:val="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en-US" w:bidi="ar"/>
              </w:rPr>
              <w:t>低温</w:t>
            </w:r>
          </w:p>
        </w:tc>
        <w:tc>
          <w:tcPr>
            <w:tcW w:w="165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5E97D0D">
            <w:pPr>
              <w:keepNext w:val="0"/>
              <w:keepLines w:val="0"/>
              <w:widowControl/>
              <w:suppressLineNumbers w:val="0"/>
              <w:jc w:val="center"/>
              <w:textAlignment w:val="center"/>
              <w:rPr>
                <w:rFonts w:hint="eastAsia"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一致</w:t>
            </w:r>
          </w:p>
        </w:tc>
      </w:tr>
      <w:tr w14:paraId="13D759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0" w:type="auto"/>
            <w:tcBorders>
              <w:top w:val="single" w:color="auto" w:sz="4" w:space="0"/>
              <w:left w:val="single" w:color="auto" w:sz="4" w:space="0"/>
              <w:bottom w:val="single" w:color="auto" w:sz="4" w:space="0"/>
              <w:right w:val="single" w:color="auto" w:sz="4" w:space="0"/>
            </w:tcBorders>
          </w:tcPr>
          <w:p w14:paraId="0BB72CCF">
            <w:pPr>
              <w:keepNext w:val="0"/>
              <w:keepLines w:val="0"/>
              <w:widowControl/>
              <w:suppressLineNumbers w:val="0"/>
              <w:jc w:val="center"/>
              <w:textAlignment w:val="center"/>
              <w:rPr>
                <w:rFonts w:hint="default"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9</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2CA96D3">
            <w:pPr>
              <w:keepNext w:val="0"/>
              <w:keepLines w:val="0"/>
              <w:widowControl/>
              <w:suppressLineNumbers w:val="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电源影响</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DD027BF">
            <w:pPr>
              <w:keepNext w:val="0"/>
              <w:keepLines w:val="0"/>
              <w:widowControl/>
              <w:suppressLineNumbers w:val="0"/>
              <w:jc w:val="center"/>
              <w:textAlignment w:val="center"/>
              <w:rPr>
                <w:rFonts w:hint="eastAsia"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一致</w:t>
            </w:r>
          </w:p>
        </w:tc>
      </w:tr>
      <w:tr w14:paraId="056F5D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0" w:type="auto"/>
            <w:tcBorders>
              <w:top w:val="single" w:color="auto" w:sz="4" w:space="0"/>
              <w:left w:val="single" w:color="auto" w:sz="4" w:space="0"/>
              <w:bottom w:val="single" w:color="auto" w:sz="4" w:space="0"/>
              <w:right w:val="single" w:color="auto" w:sz="4" w:space="0"/>
            </w:tcBorders>
          </w:tcPr>
          <w:p w14:paraId="4BCA5154">
            <w:pPr>
              <w:keepNext w:val="0"/>
              <w:keepLines w:val="0"/>
              <w:widowControl/>
              <w:suppressLineNumbers w:val="0"/>
              <w:jc w:val="center"/>
              <w:textAlignment w:val="center"/>
              <w:rPr>
                <w:rFonts w:hint="default"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10</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485A7F1">
            <w:pPr>
              <w:keepNext w:val="0"/>
              <w:keepLines w:val="0"/>
              <w:widowControl/>
              <w:suppressLineNumbers w:val="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en-US" w:bidi="ar"/>
              </w:rPr>
              <w:t>接地故障能力</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F6866B0">
            <w:pPr>
              <w:keepNext w:val="0"/>
              <w:keepLines w:val="0"/>
              <w:widowControl/>
              <w:suppressLineNumbers w:val="0"/>
              <w:jc w:val="center"/>
              <w:textAlignment w:val="center"/>
              <w:rPr>
                <w:rFonts w:hint="eastAsia"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一致</w:t>
            </w:r>
          </w:p>
        </w:tc>
      </w:tr>
      <w:tr w14:paraId="65D0B1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0" w:type="auto"/>
            <w:tcBorders>
              <w:top w:val="single" w:color="auto" w:sz="4" w:space="0"/>
              <w:left w:val="single" w:color="auto" w:sz="4" w:space="0"/>
              <w:bottom w:val="single" w:color="auto" w:sz="4" w:space="0"/>
              <w:right w:val="single" w:color="auto" w:sz="4" w:space="0"/>
            </w:tcBorders>
          </w:tcPr>
          <w:p w14:paraId="63C2B9F4">
            <w:pPr>
              <w:keepNext w:val="0"/>
              <w:keepLines w:val="0"/>
              <w:widowControl/>
              <w:suppressLineNumbers w:val="0"/>
              <w:jc w:val="center"/>
              <w:textAlignment w:val="center"/>
              <w:rPr>
                <w:rFonts w:hint="default"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11</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870D460">
            <w:pPr>
              <w:keepNext w:val="0"/>
              <w:keepLines w:val="0"/>
              <w:widowControl/>
              <w:suppressLineNumbers w:val="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en-US" w:bidi="ar"/>
              </w:rPr>
              <w:t>电压暂降和短时中断</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93FDA5B">
            <w:pPr>
              <w:keepNext w:val="0"/>
              <w:keepLines w:val="0"/>
              <w:widowControl/>
              <w:suppressLineNumbers w:val="0"/>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一致</w:t>
            </w:r>
          </w:p>
        </w:tc>
      </w:tr>
      <w:tr w14:paraId="43AC39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0" w:type="auto"/>
            <w:tcBorders>
              <w:top w:val="single" w:color="auto" w:sz="4" w:space="0"/>
              <w:left w:val="single" w:color="auto" w:sz="4" w:space="0"/>
              <w:bottom w:val="single" w:color="auto" w:sz="4" w:space="0"/>
              <w:right w:val="single" w:color="auto" w:sz="4" w:space="0"/>
            </w:tcBorders>
          </w:tcPr>
          <w:p w14:paraId="6A19B8C7">
            <w:pPr>
              <w:keepNext w:val="0"/>
              <w:keepLines w:val="0"/>
              <w:widowControl/>
              <w:suppressLineNumbers w:val="0"/>
              <w:jc w:val="center"/>
              <w:textAlignment w:val="center"/>
              <w:rPr>
                <w:rFonts w:hint="default"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12</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C4F687B">
            <w:pPr>
              <w:keepNext w:val="0"/>
              <w:keepLines w:val="0"/>
              <w:widowControl/>
              <w:suppressLineNumbers w:val="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en-US" w:bidi="ar"/>
              </w:rPr>
              <w:t>工频磁场抗扰度</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BD40508">
            <w:pPr>
              <w:keepNext w:val="0"/>
              <w:keepLines w:val="0"/>
              <w:widowControl/>
              <w:suppressLineNumbers w:val="0"/>
              <w:jc w:val="center"/>
              <w:textAlignment w:val="center"/>
              <w:rPr>
                <w:rFonts w:hint="eastAsia"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一致</w:t>
            </w:r>
          </w:p>
        </w:tc>
      </w:tr>
      <w:tr w14:paraId="40BEF7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0" w:type="auto"/>
            <w:tcBorders>
              <w:top w:val="single" w:color="auto" w:sz="4" w:space="0"/>
              <w:left w:val="single" w:color="auto" w:sz="4" w:space="0"/>
              <w:bottom w:val="single" w:color="auto" w:sz="4" w:space="0"/>
              <w:right w:val="single" w:color="auto" w:sz="4" w:space="0"/>
            </w:tcBorders>
          </w:tcPr>
          <w:p w14:paraId="6A0CF7ED">
            <w:pPr>
              <w:keepNext w:val="0"/>
              <w:keepLines w:val="0"/>
              <w:widowControl/>
              <w:suppressLineNumbers w:val="0"/>
              <w:jc w:val="center"/>
              <w:textAlignment w:val="center"/>
              <w:rPr>
                <w:rFonts w:hint="default"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13</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19F717B">
            <w:pPr>
              <w:keepNext w:val="0"/>
              <w:keepLines w:val="0"/>
              <w:widowControl/>
              <w:suppressLineNumbers w:val="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射频电磁场辐射抗扰度</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2FE996E">
            <w:pPr>
              <w:keepNext w:val="0"/>
              <w:keepLines w:val="0"/>
              <w:widowControl/>
              <w:suppressLineNumbers w:val="0"/>
              <w:jc w:val="center"/>
              <w:textAlignment w:val="center"/>
              <w:rPr>
                <w:rFonts w:hint="eastAsia"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一致</w:t>
            </w:r>
          </w:p>
        </w:tc>
      </w:tr>
      <w:tr w14:paraId="70B2DF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0" w:type="auto"/>
            <w:tcBorders>
              <w:top w:val="single" w:color="auto" w:sz="4" w:space="0"/>
              <w:left w:val="single" w:color="auto" w:sz="4" w:space="0"/>
              <w:bottom w:val="single" w:color="auto" w:sz="4" w:space="0"/>
              <w:right w:val="single" w:color="auto" w:sz="4" w:space="0"/>
            </w:tcBorders>
          </w:tcPr>
          <w:p w14:paraId="1D6BF39C">
            <w:pPr>
              <w:keepNext w:val="0"/>
              <w:keepLines w:val="0"/>
              <w:widowControl/>
              <w:suppressLineNumbers w:val="0"/>
              <w:jc w:val="center"/>
              <w:textAlignment w:val="center"/>
              <w:rPr>
                <w:rFonts w:hint="default"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14</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B85E1DC">
            <w:pPr>
              <w:keepNext w:val="0"/>
              <w:keepLines w:val="0"/>
              <w:widowControl/>
              <w:suppressLineNumbers w:val="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en-US" w:bidi="ar"/>
              </w:rPr>
              <w:t>静电放电抗扰度</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5E6323F">
            <w:pPr>
              <w:keepNext w:val="0"/>
              <w:keepLines w:val="0"/>
              <w:widowControl/>
              <w:suppressLineNumbers w:val="0"/>
              <w:jc w:val="center"/>
              <w:textAlignment w:val="center"/>
              <w:rPr>
                <w:rFonts w:hint="eastAsia"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一致</w:t>
            </w:r>
          </w:p>
        </w:tc>
      </w:tr>
      <w:tr w14:paraId="224B25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0" w:type="auto"/>
            <w:tcBorders>
              <w:top w:val="single" w:color="auto" w:sz="4" w:space="0"/>
              <w:left w:val="single" w:color="auto" w:sz="4" w:space="0"/>
              <w:bottom w:val="single" w:color="auto" w:sz="4" w:space="0"/>
              <w:right w:val="single" w:color="auto" w:sz="4" w:space="0"/>
            </w:tcBorders>
          </w:tcPr>
          <w:p w14:paraId="6B1C7ACD">
            <w:pPr>
              <w:keepNext w:val="0"/>
              <w:keepLines w:val="0"/>
              <w:widowControl/>
              <w:suppressLineNumbers w:val="0"/>
              <w:jc w:val="center"/>
              <w:textAlignment w:val="center"/>
              <w:rPr>
                <w:rFonts w:hint="default"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15</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2FC0CD8">
            <w:pPr>
              <w:keepNext w:val="0"/>
              <w:keepLines w:val="0"/>
              <w:widowControl/>
              <w:suppressLineNumbers w:val="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电快速瞬变脉冲群抗扰度</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33A8D77">
            <w:pPr>
              <w:keepNext w:val="0"/>
              <w:keepLines w:val="0"/>
              <w:widowControl/>
              <w:suppressLineNumbers w:val="0"/>
              <w:jc w:val="center"/>
              <w:textAlignment w:val="center"/>
              <w:rPr>
                <w:rFonts w:hint="eastAsia"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一致</w:t>
            </w:r>
          </w:p>
        </w:tc>
      </w:tr>
      <w:tr w14:paraId="5E6191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0" w:type="auto"/>
            <w:tcBorders>
              <w:top w:val="single" w:color="auto" w:sz="4" w:space="0"/>
              <w:left w:val="single" w:color="auto" w:sz="4" w:space="0"/>
              <w:bottom w:val="single" w:color="auto" w:sz="4" w:space="0"/>
              <w:right w:val="single" w:color="auto" w:sz="4" w:space="0"/>
            </w:tcBorders>
          </w:tcPr>
          <w:p w14:paraId="407381B9">
            <w:pPr>
              <w:keepNext w:val="0"/>
              <w:keepLines w:val="0"/>
              <w:widowControl/>
              <w:suppressLineNumbers w:val="0"/>
              <w:jc w:val="center"/>
              <w:textAlignment w:val="center"/>
              <w:rPr>
                <w:rFonts w:hint="default"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16</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02A91F7">
            <w:pPr>
              <w:keepNext w:val="0"/>
              <w:keepLines w:val="0"/>
              <w:widowControl/>
              <w:suppressLineNumbers w:val="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en-US" w:bidi="ar"/>
              </w:rPr>
              <w:t>阻尼振荡波抗扰度</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0A96C10">
            <w:pPr>
              <w:keepNext w:val="0"/>
              <w:keepLines w:val="0"/>
              <w:widowControl/>
              <w:suppressLineNumbers w:val="0"/>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一致</w:t>
            </w:r>
          </w:p>
        </w:tc>
      </w:tr>
      <w:tr w14:paraId="3DE080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0" w:type="auto"/>
            <w:tcBorders>
              <w:top w:val="single" w:color="auto" w:sz="4" w:space="0"/>
              <w:left w:val="single" w:color="auto" w:sz="4" w:space="0"/>
              <w:bottom w:val="single" w:color="auto" w:sz="4" w:space="0"/>
              <w:right w:val="single" w:color="auto" w:sz="4" w:space="0"/>
            </w:tcBorders>
          </w:tcPr>
          <w:p w14:paraId="71EA3849">
            <w:pPr>
              <w:keepNext w:val="0"/>
              <w:keepLines w:val="0"/>
              <w:widowControl/>
              <w:suppressLineNumbers w:val="0"/>
              <w:jc w:val="center"/>
              <w:textAlignment w:val="center"/>
              <w:rPr>
                <w:rFonts w:hint="default"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17</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BE17236">
            <w:pPr>
              <w:keepNext w:val="0"/>
              <w:keepLines w:val="0"/>
              <w:widowControl/>
              <w:suppressLineNumbers w:val="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en-US" w:bidi="ar"/>
              </w:rPr>
              <w:t>浪涌抗扰度</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0A374ED">
            <w:pPr>
              <w:keepNext w:val="0"/>
              <w:keepLines w:val="0"/>
              <w:widowControl/>
              <w:suppressLineNumbers w:val="0"/>
              <w:jc w:val="center"/>
              <w:textAlignment w:val="center"/>
              <w:rPr>
                <w:rFonts w:hint="eastAsia"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一致</w:t>
            </w:r>
          </w:p>
        </w:tc>
      </w:tr>
      <w:tr w14:paraId="5649CA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0" w:type="auto"/>
            <w:tcBorders>
              <w:top w:val="single" w:color="auto" w:sz="4" w:space="0"/>
              <w:left w:val="single" w:color="auto" w:sz="4" w:space="0"/>
              <w:bottom w:val="single" w:color="auto" w:sz="4" w:space="0"/>
              <w:right w:val="single" w:color="auto" w:sz="4" w:space="0"/>
            </w:tcBorders>
          </w:tcPr>
          <w:p w14:paraId="379E414C">
            <w:pPr>
              <w:keepNext w:val="0"/>
              <w:keepLines w:val="0"/>
              <w:widowControl/>
              <w:suppressLineNumbers w:val="0"/>
              <w:jc w:val="center"/>
              <w:textAlignment w:val="center"/>
              <w:rPr>
                <w:rFonts w:hint="default"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18</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38C44FF">
            <w:pPr>
              <w:keepNext w:val="0"/>
              <w:keepLines w:val="0"/>
              <w:widowControl/>
              <w:suppressLineNumbers w:val="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射频场感应的传导骚扰抗扰度</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CA03C79">
            <w:pPr>
              <w:keepNext w:val="0"/>
              <w:keepLines w:val="0"/>
              <w:widowControl/>
              <w:suppressLineNumbers w:val="0"/>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一致</w:t>
            </w:r>
          </w:p>
        </w:tc>
      </w:tr>
    </w:tbl>
    <w:p w14:paraId="0D7BD158">
      <w:pPr>
        <w:pStyle w:val="22"/>
        <w:spacing w:before="100" w:beforeAutospacing="1" w:line="360" w:lineRule="auto"/>
        <w:ind w:firstLine="0" w:firstLineChars="0"/>
        <w:rPr>
          <w:rFonts w:hint="eastAsia" w:ascii="宋体" w:hAnsi="Times New Roman" w:eastAsia="宋体" w:cs="Times New Roman"/>
          <w:b w:val="0"/>
          <w:bCs w:val="0"/>
          <w:color w:val="auto"/>
          <w:kern w:val="0"/>
          <w:sz w:val="24"/>
          <w:szCs w:val="24"/>
          <w:highlight w:val="none"/>
          <w:lang w:val="en-US" w:eastAsia="zh-CN" w:bidi="ar-SA"/>
        </w:rPr>
      </w:pPr>
      <w:r>
        <w:rPr>
          <w:rFonts w:hint="eastAsia" w:ascii="宋体" w:hAnsi="Times New Roman" w:eastAsia="宋体" w:cs="Times New Roman"/>
          <w:b w:val="0"/>
          <w:bCs w:val="0"/>
          <w:color w:val="auto"/>
          <w:kern w:val="0"/>
          <w:sz w:val="24"/>
          <w:szCs w:val="24"/>
          <w:highlight w:val="none"/>
          <w:lang w:val="en-US" w:eastAsia="zh-Hans" w:bidi="ar-SA"/>
        </w:rPr>
        <w:t>本文件在各项指标的试验及验证过程中使用的设备包括：</w:t>
      </w:r>
      <w:r>
        <w:rPr>
          <w:rFonts w:hint="eastAsia" w:ascii="宋体" w:hAnsi="Times New Roman" w:eastAsia="宋体" w:cs="Times New Roman"/>
          <w:b w:val="0"/>
          <w:bCs w:val="0"/>
          <w:color w:val="auto"/>
          <w:kern w:val="0"/>
          <w:sz w:val="24"/>
          <w:szCs w:val="24"/>
          <w:highlight w:val="none"/>
          <w:lang w:val="en-US" w:eastAsia="zh-CN" w:bidi="ar-SA"/>
        </w:rPr>
        <w:t>I型集中器终端、智能台区终端、单三相多功能标准电能表、电子数显卡尺、绝缘电阻测试仪、试验探棒、安全性能综合测试仪、高精度数字万用表、外磁场试验台、信号发生器、功率放大器、射频传导抗扰度综合测试仪、高低温湿热试验箱、差模传导骚扰模拟器、静电放电发生器、机械冲击试验机、振动台、三相智能型变频电源等</w:t>
      </w:r>
    </w:p>
    <w:p w14:paraId="7A512996">
      <w:pPr>
        <w:pStyle w:val="22"/>
        <w:spacing w:before="100" w:beforeAutospacing="1" w:line="360" w:lineRule="auto"/>
        <w:ind w:firstLine="0" w:firstLineChars="0"/>
        <w:rPr>
          <w:b/>
          <w:sz w:val="24"/>
          <w:szCs w:val="24"/>
        </w:rPr>
      </w:pPr>
      <w:r>
        <w:rPr>
          <w:rFonts w:hint="eastAsia"/>
          <w:b/>
          <w:sz w:val="24"/>
          <w:szCs w:val="24"/>
        </w:rPr>
        <w:t>四、专利处理说明</w:t>
      </w:r>
    </w:p>
    <w:p w14:paraId="086C41DA">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kern w:val="0"/>
          <w:sz w:val="24"/>
        </w:rPr>
      </w:pPr>
      <w:r>
        <w:rPr>
          <w:rFonts w:hint="eastAsia" w:ascii="宋体"/>
          <w:kern w:val="0"/>
          <w:sz w:val="24"/>
        </w:rPr>
        <w:t>本标准不涉及专利。</w:t>
      </w:r>
    </w:p>
    <w:p w14:paraId="00F37A28">
      <w:pPr>
        <w:pStyle w:val="22"/>
        <w:spacing w:before="100" w:beforeAutospacing="1" w:line="360" w:lineRule="auto"/>
        <w:ind w:firstLine="0" w:firstLineChars="0"/>
        <w:rPr>
          <w:b/>
          <w:sz w:val="24"/>
          <w:szCs w:val="24"/>
        </w:rPr>
      </w:pPr>
      <w:r>
        <w:rPr>
          <w:rFonts w:hint="eastAsia"/>
          <w:b/>
          <w:sz w:val="24"/>
          <w:szCs w:val="24"/>
        </w:rPr>
        <w:t>五、预期达到的社会效益以及对产业发展的作用</w:t>
      </w:r>
    </w:p>
    <w:p w14:paraId="1FFB1652">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kern w:val="0"/>
          <w:sz w:val="24"/>
        </w:rPr>
      </w:pPr>
      <w:r>
        <w:rPr>
          <w:rFonts w:hint="eastAsia" w:ascii="宋体"/>
          <w:kern w:val="0"/>
          <w:sz w:val="24"/>
        </w:rPr>
        <w:t>本标准的制定，通过制定本标准，</w:t>
      </w:r>
      <w:r>
        <w:rPr>
          <w:rFonts w:hint="eastAsia" w:ascii="宋体"/>
          <w:kern w:val="0"/>
          <w:sz w:val="24"/>
          <w:lang w:val="en-US" w:eastAsia="zh-CN"/>
        </w:rPr>
        <w:t>可规范</w:t>
      </w:r>
      <w:r>
        <w:rPr>
          <w:rFonts w:hint="eastAsia"/>
          <w:sz w:val="24"/>
          <w:szCs w:val="24"/>
        </w:rPr>
        <w:t>低压</w:t>
      </w:r>
      <w:r>
        <w:rPr>
          <w:rFonts w:hint="eastAsia"/>
          <w:sz w:val="24"/>
          <w:szCs w:val="24"/>
          <w:lang w:val="en-US" w:eastAsia="zh-CN"/>
        </w:rPr>
        <w:t>集抄通信运维工具</w:t>
      </w:r>
      <w:r>
        <w:rPr>
          <w:rFonts w:hint="eastAsia"/>
          <w:sz w:val="24"/>
          <w:szCs w:val="24"/>
        </w:rPr>
        <w:t>的功能、性能要求，实现低压</w:t>
      </w:r>
      <w:r>
        <w:rPr>
          <w:rFonts w:hint="eastAsia"/>
          <w:sz w:val="24"/>
          <w:szCs w:val="24"/>
          <w:lang w:val="en-US" w:eastAsia="zh-CN"/>
        </w:rPr>
        <w:t>集抄通信运维工具</w:t>
      </w:r>
      <w:r>
        <w:rPr>
          <w:rFonts w:hint="eastAsia"/>
          <w:sz w:val="24"/>
          <w:szCs w:val="24"/>
        </w:rPr>
        <w:t>的标准化</w:t>
      </w:r>
      <w:r>
        <w:rPr>
          <w:rFonts w:hint="eastAsia" w:ascii="宋体"/>
          <w:kern w:val="0"/>
          <w:sz w:val="24"/>
        </w:rPr>
        <w:t>，便于产品质量管控，降低采购和运维成本。</w:t>
      </w:r>
    </w:p>
    <w:p w14:paraId="26CB3118">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kern w:val="0"/>
          <w:sz w:val="24"/>
        </w:rPr>
      </w:pPr>
      <w:r>
        <w:rPr>
          <w:rFonts w:hint="eastAsia" w:ascii="宋体"/>
          <w:kern w:val="0"/>
          <w:sz w:val="24"/>
        </w:rPr>
        <w:t>此标准的实施将推动低压台区</w:t>
      </w:r>
      <w:r>
        <w:rPr>
          <w:rFonts w:hint="eastAsia" w:ascii="宋体"/>
          <w:kern w:val="0"/>
          <w:sz w:val="24"/>
          <w:lang w:val="en-US" w:eastAsia="zh-CN"/>
        </w:rPr>
        <w:t>采集通信</w:t>
      </w:r>
      <w:r>
        <w:rPr>
          <w:rFonts w:hint="eastAsia" w:ascii="宋体"/>
          <w:kern w:val="0"/>
          <w:sz w:val="24"/>
        </w:rPr>
        <w:t>运维</w:t>
      </w:r>
      <w:r>
        <w:rPr>
          <w:rFonts w:hint="eastAsia" w:ascii="宋体"/>
          <w:kern w:val="0"/>
          <w:sz w:val="24"/>
          <w:lang w:val="en-US" w:eastAsia="zh-CN"/>
        </w:rPr>
        <w:t>技术</w:t>
      </w:r>
      <w:r>
        <w:rPr>
          <w:rFonts w:hint="eastAsia" w:ascii="宋体"/>
          <w:kern w:val="0"/>
          <w:sz w:val="24"/>
        </w:rPr>
        <w:t>的深入发展，提升</w:t>
      </w:r>
      <w:r>
        <w:rPr>
          <w:rFonts w:hint="eastAsia" w:ascii="宋体"/>
          <w:kern w:val="0"/>
          <w:sz w:val="24"/>
          <w:lang w:val="en-US" w:eastAsia="zh-CN"/>
        </w:rPr>
        <w:t>电能计量采集</w:t>
      </w:r>
      <w:r>
        <w:rPr>
          <w:rFonts w:hint="eastAsia" w:ascii="宋体"/>
          <w:kern w:val="0"/>
          <w:sz w:val="24"/>
        </w:rPr>
        <w:t>的</w:t>
      </w:r>
      <w:r>
        <w:rPr>
          <w:rFonts w:hint="eastAsia" w:ascii="宋体"/>
          <w:kern w:val="0"/>
          <w:sz w:val="24"/>
          <w:lang w:val="en-US" w:eastAsia="zh-CN"/>
        </w:rPr>
        <w:t>通信</w:t>
      </w:r>
      <w:r>
        <w:rPr>
          <w:rFonts w:hint="eastAsia" w:ascii="宋体"/>
          <w:kern w:val="0"/>
          <w:sz w:val="24"/>
        </w:rPr>
        <w:t>效率，为电力系统的可持续发展提供有力支持。</w:t>
      </w:r>
    </w:p>
    <w:p w14:paraId="7EC15396">
      <w:pPr>
        <w:pStyle w:val="22"/>
        <w:spacing w:before="100" w:beforeAutospacing="1" w:line="360" w:lineRule="auto"/>
        <w:ind w:firstLine="0" w:firstLineChars="0"/>
        <w:rPr>
          <w:b/>
          <w:sz w:val="24"/>
          <w:szCs w:val="24"/>
        </w:rPr>
      </w:pPr>
      <w:r>
        <w:rPr>
          <w:rFonts w:hint="eastAsia"/>
          <w:b/>
          <w:sz w:val="24"/>
          <w:szCs w:val="24"/>
        </w:rPr>
        <w:t>六、采用国际标准和国外先进标准情况，与国际、国外同类标准水平对比情况</w:t>
      </w:r>
    </w:p>
    <w:p w14:paraId="24C2D1A3">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kern w:val="0"/>
          <w:sz w:val="24"/>
        </w:rPr>
      </w:pPr>
      <w:r>
        <w:rPr>
          <w:rFonts w:hint="eastAsia" w:ascii="宋体"/>
          <w:kern w:val="0"/>
          <w:sz w:val="24"/>
        </w:rPr>
        <w:t>本标准不是直接采用国际标准或国外标准，而是我国自主研制的标准；但本标准的技术内容与相关国际标准相互协调的。</w:t>
      </w:r>
    </w:p>
    <w:p w14:paraId="107B68EB">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kern w:val="0"/>
          <w:sz w:val="24"/>
        </w:rPr>
      </w:pPr>
      <w:r>
        <w:rPr>
          <w:rFonts w:hint="eastAsia" w:ascii="宋体"/>
          <w:kern w:val="0"/>
          <w:sz w:val="24"/>
        </w:rPr>
        <w:t>本标准针对我国</w:t>
      </w:r>
      <w:r>
        <w:rPr>
          <w:rFonts w:hint="eastAsia" w:ascii="宋体"/>
          <w:kern w:val="0"/>
          <w:sz w:val="24"/>
          <w:lang w:val="en-US" w:eastAsia="zh-CN"/>
        </w:rPr>
        <w:t>低压集抄通信运维工具技术要求</w:t>
      </w:r>
      <w:r>
        <w:rPr>
          <w:rFonts w:hint="eastAsia" w:ascii="宋体"/>
          <w:kern w:val="0"/>
          <w:sz w:val="24"/>
        </w:rPr>
        <w:t>进行制定，是对我国仪器仪表行业的标准体系的完善和重要补充，属于国内先进水平。</w:t>
      </w:r>
    </w:p>
    <w:p w14:paraId="0791D2BD">
      <w:pPr>
        <w:pStyle w:val="22"/>
        <w:spacing w:before="100" w:beforeAutospacing="1" w:line="360" w:lineRule="auto"/>
        <w:ind w:firstLine="0" w:firstLineChars="0"/>
        <w:rPr>
          <w:b/>
          <w:sz w:val="24"/>
          <w:szCs w:val="24"/>
        </w:rPr>
      </w:pPr>
      <w:r>
        <w:rPr>
          <w:rFonts w:hint="eastAsia"/>
          <w:b/>
          <w:sz w:val="24"/>
          <w:szCs w:val="24"/>
        </w:rPr>
        <w:t>七、在标准体系中的位置，与现行相关法律、法规规章及相关标准的协调性</w:t>
      </w:r>
    </w:p>
    <w:p w14:paraId="77FE3419">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kern w:val="0"/>
          <w:sz w:val="24"/>
        </w:rPr>
      </w:pPr>
      <w:r>
        <w:rPr>
          <w:rFonts w:hint="eastAsia" w:ascii="宋体"/>
          <w:kern w:val="0"/>
          <w:sz w:val="24"/>
        </w:rPr>
        <w:t>本标准与体系中与其他标准的相互协调。</w:t>
      </w:r>
    </w:p>
    <w:p w14:paraId="3982DB0E">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kern w:val="0"/>
          <w:sz w:val="24"/>
        </w:rPr>
      </w:pPr>
      <w:r>
        <w:rPr>
          <w:rFonts w:hint="eastAsia" w:ascii="宋体"/>
          <w:kern w:val="0"/>
          <w:sz w:val="24"/>
        </w:rPr>
        <w:t>本标准与现行相关法律、法规、规章及相关标准，特别是强制性标准是协调一致的。</w:t>
      </w:r>
    </w:p>
    <w:p w14:paraId="078C8636">
      <w:pPr>
        <w:pStyle w:val="22"/>
        <w:spacing w:before="100" w:beforeAutospacing="1" w:line="360" w:lineRule="auto"/>
        <w:ind w:firstLine="0" w:firstLineChars="0"/>
        <w:rPr>
          <w:b/>
          <w:sz w:val="24"/>
          <w:szCs w:val="24"/>
        </w:rPr>
      </w:pPr>
      <w:r>
        <w:rPr>
          <w:rFonts w:hint="eastAsia"/>
          <w:b/>
          <w:sz w:val="24"/>
          <w:szCs w:val="24"/>
        </w:rPr>
        <w:t>八、重大分岐意见的处理经过和依据</w:t>
      </w:r>
    </w:p>
    <w:p w14:paraId="3BDE09DF">
      <w:pPr>
        <w:pStyle w:val="22"/>
        <w:spacing w:before="100" w:beforeAutospacing="1" w:line="360" w:lineRule="auto"/>
        <w:ind w:firstLine="0" w:firstLineChars="0"/>
        <w:rPr>
          <w:rFonts w:hint="default"/>
          <w:kern w:val="0"/>
          <w:sz w:val="24"/>
          <w:lang w:val="en-US" w:eastAsia="zh-CN"/>
        </w:rPr>
      </w:pPr>
      <w:r>
        <w:rPr>
          <w:rFonts w:hint="eastAsia"/>
          <w:kern w:val="0"/>
          <w:sz w:val="24"/>
          <w:lang w:val="en-US" w:eastAsia="zh-CN"/>
        </w:rPr>
        <w:t xml:space="preserve">    无。</w:t>
      </w:r>
    </w:p>
    <w:p w14:paraId="7F815EEE">
      <w:pPr>
        <w:pStyle w:val="22"/>
        <w:spacing w:before="100" w:beforeAutospacing="1" w:line="360" w:lineRule="auto"/>
        <w:ind w:firstLine="0" w:firstLineChars="0"/>
        <w:rPr>
          <w:b/>
          <w:sz w:val="24"/>
          <w:szCs w:val="24"/>
        </w:rPr>
      </w:pPr>
      <w:r>
        <w:rPr>
          <w:rFonts w:hint="eastAsia"/>
          <w:b/>
          <w:sz w:val="24"/>
          <w:szCs w:val="24"/>
        </w:rPr>
        <w:t>九、标准性质的建议说明</w:t>
      </w:r>
    </w:p>
    <w:p w14:paraId="293D6224">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kern w:val="0"/>
          <w:sz w:val="24"/>
        </w:rPr>
      </w:pPr>
      <w:r>
        <w:rPr>
          <w:rFonts w:hint="eastAsia" w:ascii="宋体"/>
          <w:kern w:val="0"/>
          <w:sz w:val="24"/>
        </w:rPr>
        <w:t>建议本标准为推荐性标准。</w:t>
      </w:r>
    </w:p>
    <w:p w14:paraId="4C155F48">
      <w:pPr>
        <w:pStyle w:val="22"/>
        <w:spacing w:before="100" w:beforeAutospacing="1" w:line="360" w:lineRule="auto"/>
        <w:ind w:firstLine="0" w:firstLineChars="0"/>
        <w:rPr>
          <w:b/>
          <w:sz w:val="24"/>
          <w:szCs w:val="24"/>
        </w:rPr>
      </w:pPr>
      <w:r>
        <w:rPr>
          <w:rFonts w:hint="eastAsia"/>
          <w:b/>
          <w:sz w:val="24"/>
          <w:szCs w:val="24"/>
        </w:rPr>
        <w:t>十、贯彻标准的要求和措施建议</w:t>
      </w:r>
    </w:p>
    <w:p w14:paraId="7AF6A02B">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kern w:val="0"/>
          <w:sz w:val="24"/>
        </w:rPr>
      </w:pPr>
      <w:r>
        <w:rPr>
          <w:rFonts w:hint="eastAsia" w:ascii="宋体"/>
          <w:kern w:val="0"/>
          <w:sz w:val="24"/>
        </w:rPr>
        <w:t>本标准建议在发布实施后开展相关的宣传贯彻工作。</w:t>
      </w:r>
    </w:p>
    <w:p w14:paraId="6C89B029">
      <w:pPr>
        <w:pStyle w:val="22"/>
        <w:spacing w:before="100" w:beforeAutospacing="1" w:line="360" w:lineRule="auto"/>
        <w:ind w:firstLine="0" w:firstLineChars="0"/>
        <w:rPr>
          <w:b/>
          <w:sz w:val="24"/>
          <w:szCs w:val="24"/>
        </w:rPr>
      </w:pPr>
      <w:r>
        <w:rPr>
          <w:rFonts w:hint="eastAsia"/>
          <w:b/>
          <w:sz w:val="24"/>
          <w:szCs w:val="24"/>
        </w:rPr>
        <w:t>十一、废止现行相关标准的建议</w:t>
      </w:r>
    </w:p>
    <w:p w14:paraId="222B0171">
      <w:pPr>
        <w:spacing w:line="360" w:lineRule="auto"/>
        <w:ind w:firstLine="480" w:firstLineChars="200"/>
        <w:rPr>
          <w:rFonts w:ascii="宋体"/>
          <w:kern w:val="0"/>
          <w:sz w:val="24"/>
        </w:rPr>
      </w:pPr>
      <w:r>
        <w:rPr>
          <w:rFonts w:hint="eastAsia" w:ascii="宋体"/>
          <w:kern w:val="0"/>
          <w:sz w:val="24"/>
        </w:rPr>
        <w:t>无。</w:t>
      </w:r>
    </w:p>
    <w:p w14:paraId="69259881">
      <w:pPr>
        <w:pStyle w:val="22"/>
        <w:spacing w:before="100" w:beforeAutospacing="1" w:line="360" w:lineRule="auto"/>
        <w:ind w:firstLine="0" w:firstLineChars="0"/>
        <w:rPr>
          <w:b/>
          <w:sz w:val="24"/>
          <w:szCs w:val="24"/>
        </w:rPr>
      </w:pPr>
      <w:r>
        <w:rPr>
          <w:rFonts w:hint="eastAsia"/>
          <w:b/>
          <w:sz w:val="24"/>
          <w:szCs w:val="24"/>
        </w:rPr>
        <w:t>十二、其它应予以说明的事项</w:t>
      </w:r>
    </w:p>
    <w:p w14:paraId="765A9747">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kern w:val="0"/>
          <w:sz w:val="24"/>
        </w:rPr>
      </w:pPr>
      <w:r>
        <w:rPr>
          <w:rFonts w:hint="eastAsia" w:ascii="宋体"/>
          <w:kern w:val="0"/>
          <w:sz w:val="24"/>
        </w:rPr>
        <w:t>中国仪器仪表行业协会电工仪器仪表分会与2025年3月</w:t>
      </w:r>
      <w:r>
        <w:rPr>
          <w:rFonts w:hint="eastAsia" w:ascii="宋体"/>
          <w:kern w:val="0"/>
          <w:sz w:val="24"/>
          <w:lang w:val="en-US" w:eastAsia="zh-CN"/>
        </w:rPr>
        <w:t>18</w:t>
      </w:r>
      <w:r>
        <w:rPr>
          <w:rFonts w:hint="eastAsia" w:ascii="宋体"/>
          <w:kern w:val="0"/>
          <w:sz w:val="24"/>
        </w:rPr>
        <w:t>日在</w:t>
      </w:r>
      <w:r>
        <w:rPr>
          <w:rFonts w:hint="eastAsia" w:ascii="宋体"/>
          <w:kern w:val="0"/>
          <w:sz w:val="24"/>
          <w:lang w:val="en-US" w:eastAsia="zh-CN"/>
        </w:rPr>
        <w:t>银川</w:t>
      </w:r>
      <w:r>
        <w:rPr>
          <w:rFonts w:hint="eastAsia" w:ascii="宋体"/>
          <w:kern w:val="0"/>
          <w:sz w:val="24"/>
        </w:rPr>
        <w:t>组织召开了的第一次工作组会议中，经专家讨论建议标准标题改为“</w:t>
      </w:r>
      <w:r>
        <w:rPr>
          <w:rFonts w:hint="eastAsia" w:ascii="宋体"/>
          <w:kern w:val="0"/>
          <w:sz w:val="24"/>
          <w:lang w:val="en-US" w:eastAsia="zh-CN"/>
        </w:rPr>
        <w:t>低压集抄通信运维工具技术规范</w:t>
      </w:r>
      <w:r>
        <w:rPr>
          <w:rFonts w:hint="eastAsia" w:ascii="宋体"/>
          <w:kern w:val="0"/>
          <w:sz w:val="24"/>
        </w:rPr>
        <w:t>”。</w:t>
      </w:r>
    </w:p>
    <w:p w14:paraId="6BC6E5A5">
      <w:pPr>
        <w:spacing w:line="360" w:lineRule="auto"/>
        <w:ind w:firstLine="480" w:firstLineChars="200"/>
        <w:jc w:val="right"/>
        <w:rPr>
          <w:kern w:val="0"/>
          <w:sz w:val="24"/>
        </w:rPr>
      </w:pPr>
    </w:p>
    <w:p w14:paraId="252ABE00">
      <w:pPr>
        <w:spacing w:line="360" w:lineRule="auto"/>
        <w:jc w:val="both"/>
        <w:rPr>
          <w:rFonts w:ascii="宋体"/>
          <w:kern w:val="0"/>
          <w:sz w:val="22"/>
        </w:rPr>
      </w:pPr>
    </w:p>
    <w:sectPr>
      <w:footerReference r:id="rId3" w:type="default"/>
      <w:pgSz w:w="11906" w:h="16838"/>
      <w:pgMar w:top="1440" w:right="1797" w:bottom="1440" w:left="1797" w:header="851" w:footer="737"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60BE64">
    <w:pPr>
      <w:pStyle w:val="6"/>
      <w:jc w:val="center"/>
    </w:pPr>
    <w:r>
      <w:rPr>
        <w:rFonts w:hint="eastAsia"/>
      </w:rPr>
      <w:t xml:space="preserve">第 </w:t>
    </w:r>
    <w:r>
      <w:rPr>
        <w:rStyle w:val="13"/>
      </w:rPr>
      <w:fldChar w:fldCharType="begin"/>
    </w:r>
    <w:r>
      <w:rPr>
        <w:rStyle w:val="13"/>
      </w:rPr>
      <w:instrText xml:space="preserve"> PAGE </w:instrText>
    </w:r>
    <w:r>
      <w:rPr>
        <w:rStyle w:val="13"/>
      </w:rPr>
      <w:fldChar w:fldCharType="separate"/>
    </w:r>
    <w:r>
      <w:rPr>
        <w:rStyle w:val="13"/>
      </w:rPr>
      <w:t>2</w:t>
    </w:r>
    <w:r>
      <w:rPr>
        <w:rStyle w:val="13"/>
      </w:rPr>
      <w:fldChar w:fldCharType="end"/>
    </w:r>
    <w:r>
      <w:rPr>
        <w:rFonts w:hint="eastAsia"/>
      </w:rPr>
      <w:t xml:space="preserve"> 页</w:t>
    </w:r>
  </w:p>
  <w:p w14:paraId="526D3E1F">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4C50F90"/>
    <w:multiLevelType w:val="multilevel"/>
    <w:tmpl w:val="44C50F90"/>
    <w:lvl w:ilvl="0" w:tentative="0">
      <w:start w:val="1"/>
      <w:numFmt w:val="lowerLetter"/>
      <w:pStyle w:val="27"/>
      <w:lvlText w:val="%1)"/>
      <w:lvlJc w:val="left"/>
      <w:pPr>
        <w:tabs>
          <w:tab w:val="left" w:pos="851"/>
        </w:tabs>
        <w:ind w:left="851" w:hanging="426"/>
      </w:pPr>
      <w:rPr>
        <w:rFonts w:hint="eastAsia" w:ascii="宋体" w:hAnsi="Times New Roman" w:eastAsia="宋体"/>
        <w:sz w:val="21"/>
      </w:rPr>
    </w:lvl>
    <w:lvl w:ilvl="1" w:tentative="0">
      <w:start w:val="1"/>
      <w:numFmt w:val="decimal"/>
      <w:lvlText w:val="%2)"/>
      <w:lvlJc w:val="left"/>
      <w:pPr>
        <w:tabs>
          <w:tab w:val="left" w:pos="1276"/>
        </w:tabs>
        <w:ind w:left="1276" w:hanging="425"/>
      </w:pPr>
      <w:rPr>
        <w:rFonts w:hint="eastAsia" w:ascii="宋体" w:hAnsi="Times New Roman" w:eastAsia="宋体"/>
        <w:sz w:val="21"/>
      </w:rPr>
    </w:lvl>
    <w:lvl w:ilvl="2" w:tentative="0">
      <w:start w:val="1"/>
      <w:numFmt w:val="decimal"/>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
    <w:nsid w:val="6CEA2025"/>
    <w:multiLevelType w:val="multilevel"/>
    <w:tmpl w:val="6CEA2025"/>
    <w:lvl w:ilvl="0" w:tentative="0">
      <w:start w:val="1"/>
      <w:numFmt w:val="none"/>
      <w:pStyle w:val="14"/>
      <w:suff w:val="nothing"/>
      <w:lvlText w:val="%1"/>
      <w:lvlJc w:val="left"/>
      <w:pPr>
        <w:ind w:left="0" w:firstLine="0"/>
      </w:pPr>
      <w:rPr>
        <w:rFonts w:hint="default" w:ascii="Times New Roman" w:hAnsi="Times New Roman"/>
        <w:b/>
        <w:i w:val="0"/>
        <w:sz w:val="21"/>
      </w:rPr>
    </w:lvl>
    <w:lvl w:ilvl="1" w:tentative="0">
      <w:start w:val="1"/>
      <w:numFmt w:val="decimal"/>
      <w:pStyle w:val="15"/>
      <w:suff w:val="nothing"/>
      <w:lvlText w:val="%1%2　"/>
      <w:lvlJc w:val="left"/>
      <w:pPr>
        <w:ind w:left="0" w:firstLine="0"/>
      </w:pPr>
      <w:rPr>
        <w:rFonts w:hint="eastAsia" w:ascii="黑体" w:hAnsi="Times New Roman" w:eastAsia="黑体"/>
        <w:b w:val="0"/>
        <w:i w:val="0"/>
        <w:sz w:val="21"/>
      </w:rPr>
    </w:lvl>
    <w:lvl w:ilvl="2" w:tentative="0">
      <w:start w:val="1"/>
      <w:numFmt w:val="decimal"/>
      <w:pStyle w:val="16"/>
      <w:suff w:val="nothing"/>
      <w:lvlText w:val="%1%2.%3　"/>
      <w:lvlJc w:val="left"/>
      <w:pPr>
        <w:ind w:left="0" w:firstLine="0"/>
      </w:pPr>
      <w:rPr>
        <w:rFonts w:hint="eastAsia" w:ascii="黑体" w:hAnsi="Times New Roman" w:eastAsia="黑体"/>
        <w:b w:val="0"/>
        <w:i w:val="0"/>
        <w:sz w:val="21"/>
      </w:rPr>
    </w:lvl>
    <w:lvl w:ilvl="3" w:tentative="0">
      <w:start w:val="1"/>
      <w:numFmt w:val="decimal"/>
      <w:pStyle w:val="17"/>
      <w:suff w:val="nothing"/>
      <w:lvlText w:val="%1%2.%3.%4　"/>
      <w:lvlJc w:val="left"/>
      <w:pPr>
        <w:ind w:left="0" w:firstLine="0"/>
      </w:pPr>
      <w:rPr>
        <w:rFonts w:hint="eastAsia" w:ascii="黑体" w:hAnsi="Times New Roman" w:eastAsia="黑体"/>
        <w:b w:val="0"/>
        <w:i w:val="0"/>
        <w:sz w:val="21"/>
      </w:rPr>
    </w:lvl>
    <w:lvl w:ilvl="4" w:tentative="0">
      <w:start w:val="1"/>
      <w:numFmt w:val="decimal"/>
      <w:pStyle w:val="19"/>
      <w:suff w:val="nothing"/>
      <w:lvlText w:val="%1%2.%3.%4.%5　"/>
      <w:lvlJc w:val="left"/>
      <w:pPr>
        <w:ind w:left="0" w:firstLine="0"/>
      </w:pPr>
      <w:rPr>
        <w:rFonts w:hint="eastAsia" w:ascii="黑体" w:hAnsi="Times New Roman" w:eastAsia="黑体"/>
        <w:b w:val="0"/>
        <w:i w:val="0"/>
        <w:sz w:val="21"/>
      </w:rPr>
    </w:lvl>
    <w:lvl w:ilvl="5" w:tentative="0">
      <w:start w:val="1"/>
      <w:numFmt w:val="decimal"/>
      <w:pStyle w:val="20"/>
      <w:suff w:val="nothing"/>
      <w:lvlText w:val="%1%2.%3.%4.%5.%6　"/>
      <w:lvlJc w:val="left"/>
      <w:pPr>
        <w:ind w:left="0" w:firstLine="0"/>
      </w:pPr>
      <w:rPr>
        <w:rFonts w:hint="eastAsia" w:ascii="黑体" w:hAnsi="Times New Roman" w:eastAsia="黑体"/>
        <w:b w:val="0"/>
        <w:i w:val="0"/>
        <w:sz w:val="21"/>
      </w:rPr>
    </w:lvl>
    <w:lvl w:ilvl="6" w:tentative="0">
      <w:start w:val="1"/>
      <w:numFmt w:val="decimal"/>
      <w:pStyle w:val="21"/>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
    <w:nsid w:val="76933334"/>
    <w:multiLevelType w:val="multilevel"/>
    <w:tmpl w:val="76933334"/>
    <w:lvl w:ilvl="0" w:tentative="0">
      <w:start w:val="1"/>
      <w:numFmt w:val="none"/>
      <w:pStyle w:val="23"/>
      <w:lvlText w:val="%1——"/>
      <w:lvlJc w:val="left"/>
      <w:pPr>
        <w:tabs>
          <w:tab w:val="left" w:pos="1140"/>
        </w:tabs>
        <w:ind w:left="84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47D4"/>
    <w:rsid w:val="00001219"/>
    <w:rsid w:val="000049AC"/>
    <w:rsid w:val="00007307"/>
    <w:rsid w:val="00033456"/>
    <w:rsid w:val="000342E1"/>
    <w:rsid w:val="00053FAD"/>
    <w:rsid w:val="00071C23"/>
    <w:rsid w:val="00072C34"/>
    <w:rsid w:val="00073E89"/>
    <w:rsid w:val="00074EB8"/>
    <w:rsid w:val="00076A04"/>
    <w:rsid w:val="00084255"/>
    <w:rsid w:val="00084E48"/>
    <w:rsid w:val="00085A38"/>
    <w:rsid w:val="00085E59"/>
    <w:rsid w:val="00086795"/>
    <w:rsid w:val="0009397D"/>
    <w:rsid w:val="00094AC8"/>
    <w:rsid w:val="00097D2D"/>
    <w:rsid w:val="000A0916"/>
    <w:rsid w:val="000A2FBA"/>
    <w:rsid w:val="000B0AB5"/>
    <w:rsid w:val="000B1CD0"/>
    <w:rsid w:val="000B447D"/>
    <w:rsid w:val="000B5ECD"/>
    <w:rsid w:val="000C0668"/>
    <w:rsid w:val="000D0EF6"/>
    <w:rsid w:val="000D59FE"/>
    <w:rsid w:val="000E0DFB"/>
    <w:rsid w:val="000E657B"/>
    <w:rsid w:val="000F34BD"/>
    <w:rsid w:val="0010041F"/>
    <w:rsid w:val="00105571"/>
    <w:rsid w:val="00105B4E"/>
    <w:rsid w:val="001100AD"/>
    <w:rsid w:val="0012128A"/>
    <w:rsid w:val="0012336A"/>
    <w:rsid w:val="00135D55"/>
    <w:rsid w:val="00144FDB"/>
    <w:rsid w:val="00156947"/>
    <w:rsid w:val="00173A42"/>
    <w:rsid w:val="00190258"/>
    <w:rsid w:val="001A4668"/>
    <w:rsid w:val="001A5261"/>
    <w:rsid w:val="001A52E6"/>
    <w:rsid w:val="001A5E1B"/>
    <w:rsid w:val="001B1BE3"/>
    <w:rsid w:val="001C1879"/>
    <w:rsid w:val="001E3D87"/>
    <w:rsid w:val="001E7EB4"/>
    <w:rsid w:val="001F7594"/>
    <w:rsid w:val="002000E0"/>
    <w:rsid w:val="00204DE8"/>
    <w:rsid w:val="00206751"/>
    <w:rsid w:val="00207441"/>
    <w:rsid w:val="0020770B"/>
    <w:rsid w:val="00210526"/>
    <w:rsid w:val="002121D2"/>
    <w:rsid w:val="00212CFC"/>
    <w:rsid w:val="00215CD6"/>
    <w:rsid w:val="00215D7E"/>
    <w:rsid w:val="002227EA"/>
    <w:rsid w:val="002334F2"/>
    <w:rsid w:val="002345BE"/>
    <w:rsid w:val="00241CDD"/>
    <w:rsid w:val="00246FAF"/>
    <w:rsid w:val="00247F7E"/>
    <w:rsid w:val="00255823"/>
    <w:rsid w:val="00255C32"/>
    <w:rsid w:val="00260F41"/>
    <w:rsid w:val="00272EF0"/>
    <w:rsid w:val="00292B9C"/>
    <w:rsid w:val="002930A1"/>
    <w:rsid w:val="002A2C83"/>
    <w:rsid w:val="002A642F"/>
    <w:rsid w:val="002A67DF"/>
    <w:rsid w:val="002C105B"/>
    <w:rsid w:val="002C3DF2"/>
    <w:rsid w:val="002C464A"/>
    <w:rsid w:val="002D00D7"/>
    <w:rsid w:val="002D08A6"/>
    <w:rsid w:val="002E3404"/>
    <w:rsid w:val="002E4CB0"/>
    <w:rsid w:val="002F1757"/>
    <w:rsid w:val="0031613F"/>
    <w:rsid w:val="003162E1"/>
    <w:rsid w:val="0032072C"/>
    <w:rsid w:val="00321B64"/>
    <w:rsid w:val="00334505"/>
    <w:rsid w:val="0033542B"/>
    <w:rsid w:val="003427D4"/>
    <w:rsid w:val="00362C97"/>
    <w:rsid w:val="0036317B"/>
    <w:rsid w:val="00367687"/>
    <w:rsid w:val="00371E7D"/>
    <w:rsid w:val="00377006"/>
    <w:rsid w:val="003864BE"/>
    <w:rsid w:val="00390CA2"/>
    <w:rsid w:val="00391DB5"/>
    <w:rsid w:val="003A28ED"/>
    <w:rsid w:val="003A45C6"/>
    <w:rsid w:val="003B0E6E"/>
    <w:rsid w:val="003B66D2"/>
    <w:rsid w:val="003C405A"/>
    <w:rsid w:val="003D2421"/>
    <w:rsid w:val="003D2D9A"/>
    <w:rsid w:val="003D7E9B"/>
    <w:rsid w:val="003E5D96"/>
    <w:rsid w:val="003F4F02"/>
    <w:rsid w:val="00403B9E"/>
    <w:rsid w:val="004110DB"/>
    <w:rsid w:val="00423154"/>
    <w:rsid w:val="004371E2"/>
    <w:rsid w:val="0044327B"/>
    <w:rsid w:val="004532EF"/>
    <w:rsid w:val="0045397C"/>
    <w:rsid w:val="004621AD"/>
    <w:rsid w:val="00466C27"/>
    <w:rsid w:val="00471809"/>
    <w:rsid w:val="004872FC"/>
    <w:rsid w:val="00487992"/>
    <w:rsid w:val="00491C0C"/>
    <w:rsid w:val="00493DD1"/>
    <w:rsid w:val="004A2D5D"/>
    <w:rsid w:val="004A7368"/>
    <w:rsid w:val="004B0D4C"/>
    <w:rsid w:val="004B2365"/>
    <w:rsid w:val="004B3E6C"/>
    <w:rsid w:val="004B6E3D"/>
    <w:rsid w:val="004C01B6"/>
    <w:rsid w:val="004C4421"/>
    <w:rsid w:val="004C7C08"/>
    <w:rsid w:val="004D1348"/>
    <w:rsid w:val="004D224E"/>
    <w:rsid w:val="004D49C5"/>
    <w:rsid w:val="004D71E2"/>
    <w:rsid w:val="004E02B2"/>
    <w:rsid w:val="004E3F89"/>
    <w:rsid w:val="004E45C1"/>
    <w:rsid w:val="004F6569"/>
    <w:rsid w:val="0050126D"/>
    <w:rsid w:val="0050454A"/>
    <w:rsid w:val="00505853"/>
    <w:rsid w:val="0052286C"/>
    <w:rsid w:val="00522E81"/>
    <w:rsid w:val="00550D2F"/>
    <w:rsid w:val="005527C6"/>
    <w:rsid w:val="00552A1B"/>
    <w:rsid w:val="00563130"/>
    <w:rsid w:val="00566A45"/>
    <w:rsid w:val="00572B31"/>
    <w:rsid w:val="00574F7A"/>
    <w:rsid w:val="00575E4F"/>
    <w:rsid w:val="0057638D"/>
    <w:rsid w:val="00577AFE"/>
    <w:rsid w:val="00580BBB"/>
    <w:rsid w:val="00592965"/>
    <w:rsid w:val="00597119"/>
    <w:rsid w:val="005A2971"/>
    <w:rsid w:val="005A5F3E"/>
    <w:rsid w:val="005B15D6"/>
    <w:rsid w:val="005C3022"/>
    <w:rsid w:val="005C7116"/>
    <w:rsid w:val="005D0E0A"/>
    <w:rsid w:val="005D41F6"/>
    <w:rsid w:val="005D7B3B"/>
    <w:rsid w:val="005E4211"/>
    <w:rsid w:val="005E6B06"/>
    <w:rsid w:val="006018C0"/>
    <w:rsid w:val="00602412"/>
    <w:rsid w:val="006079F9"/>
    <w:rsid w:val="006219FD"/>
    <w:rsid w:val="00624421"/>
    <w:rsid w:val="00625D09"/>
    <w:rsid w:val="00634116"/>
    <w:rsid w:val="00641E4A"/>
    <w:rsid w:val="00646A87"/>
    <w:rsid w:val="006506F9"/>
    <w:rsid w:val="00656F93"/>
    <w:rsid w:val="006604FF"/>
    <w:rsid w:val="00666CC0"/>
    <w:rsid w:val="0066791C"/>
    <w:rsid w:val="00672AEF"/>
    <w:rsid w:val="00675FAE"/>
    <w:rsid w:val="006849A6"/>
    <w:rsid w:val="00690E1C"/>
    <w:rsid w:val="006A2270"/>
    <w:rsid w:val="006A3120"/>
    <w:rsid w:val="006A4E58"/>
    <w:rsid w:val="006C07C8"/>
    <w:rsid w:val="006C4009"/>
    <w:rsid w:val="006C536B"/>
    <w:rsid w:val="006D14B2"/>
    <w:rsid w:val="006D7B05"/>
    <w:rsid w:val="006E5137"/>
    <w:rsid w:val="006E7BF8"/>
    <w:rsid w:val="006F7422"/>
    <w:rsid w:val="007014B8"/>
    <w:rsid w:val="007057E7"/>
    <w:rsid w:val="00716B24"/>
    <w:rsid w:val="00725CE0"/>
    <w:rsid w:val="007414E3"/>
    <w:rsid w:val="00745D33"/>
    <w:rsid w:val="00762EB6"/>
    <w:rsid w:val="007640D0"/>
    <w:rsid w:val="007647D4"/>
    <w:rsid w:val="00764D6D"/>
    <w:rsid w:val="007728E2"/>
    <w:rsid w:val="007877F5"/>
    <w:rsid w:val="00794592"/>
    <w:rsid w:val="007A593A"/>
    <w:rsid w:val="007A5AB1"/>
    <w:rsid w:val="007A6CAE"/>
    <w:rsid w:val="007B2A7A"/>
    <w:rsid w:val="007C0D48"/>
    <w:rsid w:val="007D63B6"/>
    <w:rsid w:val="007D6593"/>
    <w:rsid w:val="007E2D35"/>
    <w:rsid w:val="007E3781"/>
    <w:rsid w:val="007E4C8F"/>
    <w:rsid w:val="007F73B6"/>
    <w:rsid w:val="007F7C84"/>
    <w:rsid w:val="00801B6C"/>
    <w:rsid w:val="00802132"/>
    <w:rsid w:val="008102D2"/>
    <w:rsid w:val="0082411B"/>
    <w:rsid w:val="00831B8E"/>
    <w:rsid w:val="00832A4C"/>
    <w:rsid w:val="00833CEC"/>
    <w:rsid w:val="008341BA"/>
    <w:rsid w:val="00834630"/>
    <w:rsid w:val="00841251"/>
    <w:rsid w:val="00841742"/>
    <w:rsid w:val="00846E80"/>
    <w:rsid w:val="008610A5"/>
    <w:rsid w:val="008630EB"/>
    <w:rsid w:val="0087101D"/>
    <w:rsid w:val="00875651"/>
    <w:rsid w:val="00885487"/>
    <w:rsid w:val="00886E01"/>
    <w:rsid w:val="008871F5"/>
    <w:rsid w:val="008904F3"/>
    <w:rsid w:val="0089529D"/>
    <w:rsid w:val="00897638"/>
    <w:rsid w:val="008A601C"/>
    <w:rsid w:val="008A76D1"/>
    <w:rsid w:val="008B03A9"/>
    <w:rsid w:val="008B7065"/>
    <w:rsid w:val="008B7BAB"/>
    <w:rsid w:val="008B7DF4"/>
    <w:rsid w:val="008C5773"/>
    <w:rsid w:val="008D1125"/>
    <w:rsid w:val="008E15D1"/>
    <w:rsid w:val="00905CFE"/>
    <w:rsid w:val="00910E5B"/>
    <w:rsid w:val="0091480A"/>
    <w:rsid w:val="00917320"/>
    <w:rsid w:val="00923465"/>
    <w:rsid w:val="00925C29"/>
    <w:rsid w:val="00927E45"/>
    <w:rsid w:val="00931F66"/>
    <w:rsid w:val="00933C6B"/>
    <w:rsid w:val="00955A09"/>
    <w:rsid w:val="00961C69"/>
    <w:rsid w:val="009625CF"/>
    <w:rsid w:val="00962D1C"/>
    <w:rsid w:val="00962E66"/>
    <w:rsid w:val="00966727"/>
    <w:rsid w:val="0099596F"/>
    <w:rsid w:val="009A069B"/>
    <w:rsid w:val="009A185A"/>
    <w:rsid w:val="009A3ABF"/>
    <w:rsid w:val="009A7147"/>
    <w:rsid w:val="009B1FA4"/>
    <w:rsid w:val="009B2E23"/>
    <w:rsid w:val="009D5A82"/>
    <w:rsid w:val="009D7C51"/>
    <w:rsid w:val="009E32E5"/>
    <w:rsid w:val="009F2E93"/>
    <w:rsid w:val="00A003EE"/>
    <w:rsid w:val="00A037B1"/>
    <w:rsid w:val="00A049AC"/>
    <w:rsid w:val="00A05934"/>
    <w:rsid w:val="00A1677E"/>
    <w:rsid w:val="00A357A9"/>
    <w:rsid w:val="00A35C86"/>
    <w:rsid w:val="00A40EEE"/>
    <w:rsid w:val="00A43CEF"/>
    <w:rsid w:val="00A610D3"/>
    <w:rsid w:val="00A62882"/>
    <w:rsid w:val="00A633D2"/>
    <w:rsid w:val="00A7170C"/>
    <w:rsid w:val="00A7777C"/>
    <w:rsid w:val="00A90E47"/>
    <w:rsid w:val="00A93978"/>
    <w:rsid w:val="00A9448A"/>
    <w:rsid w:val="00A97CF0"/>
    <w:rsid w:val="00AA18B2"/>
    <w:rsid w:val="00AA3B86"/>
    <w:rsid w:val="00AB009B"/>
    <w:rsid w:val="00AB13F8"/>
    <w:rsid w:val="00AD1EC6"/>
    <w:rsid w:val="00AD4878"/>
    <w:rsid w:val="00AD5B9D"/>
    <w:rsid w:val="00AE1637"/>
    <w:rsid w:val="00AE23BA"/>
    <w:rsid w:val="00AE6734"/>
    <w:rsid w:val="00AE6E83"/>
    <w:rsid w:val="00AE7A01"/>
    <w:rsid w:val="00AF26DE"/>
    <w:rsid w:val="00AF3657"/>
    <w:rsid w:val="00AF5404"/>
    <w:rsid w:val="00B05355"/>
    <w:rsid w:val="00B062BA"/>
    <w:rsid w:val="00B10449"/>
    <w:rsid w:val="00B1646C"/>
    <w:rsid w:val="00B16F96"/>
    <w:rsid w:val="00B23962"/>
    <w:rsid w:val="00B246D5"/>
    <w:rsid w:val="00B35C7B"/>
    <w:rsid w:val="00B3786B"/>
    <w:rsid w:val="00B46182"/>
    <w:rsid w:val="00B6252F"/>
    <w:rsid w:val="00B70ACF"/>
    <w:rsid w:val="00B72111"/>
    <w:rsid w:val="00B74C77"/>
    <w:rsid w:val="00B763D8"/>
    <w:rsid w:val="00B77008"/>
    <w:rsid w:val="00B846F7"/>
    <w:rsid w:val="00B90FD4"/>
    <w:rsid w:val="00BA4589"/>
    <w:rsid w:val="00BB09DB"/>
    <w:rsid w:val="00BB7B1E"/>
    <w:rsid w:val="00BC116E"/>
    <w:rsid w:val="00BC1D3A"/>
    <w:rsid w:val="00BC3EE6"/>
    <w:rsid w:val="00BC53BD"/>
    <w:rsid w:val="00BD018C"/>
    <w:rsid w:val="00BD18CA"/>
    <w:rsid w:val="00BD4E34"/>
    <w:rsid w:val="00BD6711"/>
    <w:rsid w:val="00BE00A0"/>
    <w:rsid w:val="00BE6B71"/>
    <w:rsid w:val="00BF00A6"/>
    <w:rsid w:val="00BF54E9"/>
    <w:rsid w:val="00C00BC2"/>
    <w:rsid w:val="00C05CDC"/>
    <w:rsid w:val="00C07F4D"/>
    <w:rsid w:val="00C101CC"/>
    <w:rsid w:val="00C157F9"/>
    <w:rsid w:val="00C179D0"/>
    <w:rsid w:val="00C220F2"/>
    <w:rsid w:val="00C310D4"/>
    <w:rsid w:val="00C31A3B"/>
    <w:rsid w:val="00C32AAB"/>
    <w:rsid w:val="00C334D2"/>
    <w:rsid w:val="00C40EEA"/>
    <w:rsid w:val="00C62653"/>
    <w:rsid w:val="00C64B46"/>
    <w:rsid w:val="00C74800"/>
    <w:rsid w:val="00C9276B"/>
    <w:rsid w:val="00C935D5"/>
    <w:rsid w:val="00C9437C"/>
    <w:rsid w:val="00C94CC2"/>
    <w:rsid w:val="00C9793F"/>
    <w:rsid w:val="00CA1791"/>
    <w:rsid w:val="00CA3339"/>
    <w:rsid w:val="00CB4CB3"/>
    <w:rsid w:val="00CB5B08"/>
    <w:rsid w:val="00CE4370"/>
    <w:rsid w:val="00CF1882"/>
    <w:rsid w:val="00CF3EB0"/>
    <w:rsid w:val="00D030AF"/>
    <w:rsid w:val="00D05499"/>
    <w:rsid w:val="00D05AEC"/>
    <w:rsid w:val="00D076DA"/>
    <w:rsid w:val="00D20374"/>
    <w:rsid w:val="00D20761"/>
    <w:rsid w:val="00D22141"/>
    <w:rsid w:val="00D26DC8"/>
    <w:rsid w:val="00D318CB"/>
    <w:rsid w:val="00D34391"/>
    <w:rsid w:val="00D40B85"/>
    <w:rsid w:val="00D41B73"/>
    <w:rsid w:val="00D42665"/>
    <w:rsid w:val="00D427E2"/>
    <w:rsid w:val="00D43F1C"/>
    <w:rsid w:val="00D47CB6"/>
    <w:rsid w:val="00D55C13"/>
    <w:rsid w:val="00D55EEE"/>
    <w:rsid w:val="00D653A8"/>
    <w:rsid w:val="00D7159B"/>
    <w:rsid w:val="00D8226C"/>
    <w:rsid w:val="00DB4DD2"/>
    <w:rsid w:val="00DB69BE"/>
    <w:rsid w:val="00DB6D73"/>
    <w:rsid w:val="00DB7783"/>
    <w:rsid w:val="00DC2EB0"/>
    <w:rsid w:val="00DC4B53"/>
    <w:rsid w:val="00DD4DA0"/>
    <w:rsid w:val="00DE06BA"/>
    <w:rsid w:val="00DE6541"/>
    <w:rsid w:val="00DE6F22"/>
    <w:rsid w:val="00DE74EA"/>
    <w:rsid w:val="00DF5404"/>
    <w:rsid w:val="00E05FFC"/>
    <w:rsid w:val="00E10F53"/>
    <w:rsid w:val="00E15EC9"/>
    <w:rsid w:val="00E16621"/>
    <w:rsid w:val="00E21587"/>
    <w:rsid w:val="00E227CE"/>
    <w:rsid w:val="00E234BC"/>
    <w:rsid w:val="00E2634C"/>
    <w:rsid w:val="00E27B62"/>
    <w:rsid w:val="00E3188B"/>
    <w:rsid w:val="00E33ED3"/>
    <w:rsid w:val="00E35528"/>
    <w:rsid w:val="00E3586F"/>
    <w:rsid w:val="00E35A25"/>
    <w:rsid w:val="00E4386A"/>
    <w:rsid w:val="00E47BE3"/>
    <w:rsid w:val="00E60E63"/>
    <w:rsid w:val="00E62CF3"/>
    <w:rsid w:val="00E64A4C"/>
    <w:rsid w:val="00E731C1"/>
    <w:rsid w:val="00E82C82"/>
    <w:rsid w:val="00E833A6"/>
    <w:rsid w:val="00E85DDD"/>
    <w:rsid w:val="00E90618"/>
    <w:rsid w:val="00E931BD"/>
    <w:rsid w:val="00E93D22"/>
    <w:rsid w:val="00E94184"/>
    <w:rsid w:val="00EB2D76"/>
    <w:rsid w:val="00EC15F8"/>
    <w:rsid w:val="00EC346B"/>
    <w:rsid w:val="00EC5A8A"/>
    <w:rsid w:val="00ED18DA"/>
    <w:rsid w:val="00EE6858"/>
    <w:rsid w:val="00EF1C2F"/>
    <w:rsid w:val="00EF4CC1"/>
    <w:rsid w:val="00EF6F0A"/>
    <w:rsid w:val="00F0066B"/>
    <w:rsid w:val="00F00B00"/>
    <w:rsid w:val="00F21FFB"/>
    <w:rsid w:val="00F22E0E"/>
    <w:rsid w:val="00F36048"/>
    <w:rsid w:val="00F36162"/>
    <w:rsid w:val="00F427DB"/>
    <w:rsid w:val="00F44B07"/>
    <w:rsid w:val="00F656D8"/>
    <w:rsid w:val="00F65C62"/>
    <w:rsid w:val="00F77424"/>
    <w:rsid w:val="00F809B8"/>
    <w:rsid w:val="00F8419F"/>
    <w:rsid w:val="00FA5A6A"/>
    <w:rsid w:val="00FB4D2C"/>
    <w:rsid w:val="00FC12E4"/>
    <w:rsid w:val="00FC54EC"/>
    <w:rsid w:val="00FC71A5"/>
    <w:rsid w:val="00FD142F"/>
    <w:rsid w:val="00FD5EE9"/>
    <w:rsid w:val="00FE015C"/>
    <w:rsid w:val="00FF19E1"/>
    <w:rsid w:val="00FF1EE3"/>
    <w:rsid w:val="030559FB"/>
    <w:rsid w:val="04682F74"/>
    <w:rsid w:val="04874344"/>
    <w:rsid w:val="0902043D"/>
    <w:rsid w:val="09157208"/>
    <w:rsid w:val="09CB6A81"/>
    <w:rsid w:val="0A1A3B9F"/>
    <w:rsid w:val="0B8D2240"/>
    <w:rsid w:val="0BB73761"/>
    <w:rsid w:val="0DBA3094"/>
    <w:rsid w:val="0ED308B1"/>
    <w:rsid w:val="0F5F3EF3"/>
    <w:rsid w:val="0F825E34"/>
    <w:rsid w:val="0FB94E3E"/>
    <w:rsid w:val="109E6C9D"/>
    <w:rsid w:val="11F53491"/>
    <w:rsid w:val="15205ED3"/>
    <w:rsid w:val="161B48EC"/>
    <w:rsid w:val="17E81766"/>
    <w:rsid w:val="18F002B2"/>
    <w:rsid w:val="192E43D2"/>
    <w:rsid w:val="1A084D34"/>
    <w:rsid w:val="1B9B2757"/>
    <w:rsid w:val="1BAC167D"/>
    <w:rsid w:val="1BCE2D72"/>
    <w:rsid w:val="23474F72"/>
    <w:rsid w:val="236E24FF"/>
    <w:rsid w:val="23B96F52"/>
    <w:rsid w:val="2459097B"/>
    <w:rsid w:val="24AB32DF"/>
    <w:rsid w:val="252523ED"/>
    <w:rsid w:val="278B7B24"/>
    <w:rsid w:val="27DB3EDB"/>
    <w:rsid w:val="29786366"/>
    <w:rsid w:val="29AA583B"/>
    <w:rsid w:val="2A7C3754"/>
    <w:rsid w:val="2AA70110"/>
    <w:rsid w:val="2C3D33B6"/>
    <w:rsid w:val="2EB6422E"/>
    <w:rsid w:val="2F210D6D"/>
    <w:rsid w:val="2FEE7A9E"/>
    <w:rsid w:val="30055F99"/>
    <w:rsid w:val="30E978ED"/>
    <w:rsid w:val="30F32296"/>
    <w:rsid w:val="30F960CA"/>
    <w:rsid w:val="31BC5716"/>
    <w:rsid w:val="31FB7654"/>
    <w:rsid w:val="32CA61D8"/>
    <w:rsid w:val="336D632F"/>
    <w:rsid w:val="33EB4ED1"/>
    <w:rsid w:val="34853B4C"/>
    <w:rsid w:val="36064819"/>
    <w:rsid w:val="376B7F55"/>
    <w:rsid w:val="37BB7471"/>
    <w:rsid w:val="38123949"/>
    <w:rsid w:val="385E6B8E"/>
    <w:rsid w:val="38A24CCD"/>
    <w:rsid w:val="38F02E97"/>
    <w:rsid w:val="39287EAB"/>
    <w:rsid w:val="3C9C5ED7"/>
    <w:rsid w:val="3D0106F2"/>
    <w:rsid w:val="3D9E23BD"/>
    <w:rsid w:val="40994C08"/>
    <w:rsid w:val="42881AA6"/>
    <w:rsid w:val="43486471"/>
    <w:rsid w:val="4690085B"/>
    <w:rsid w:val="47290367"/>
    <w:rsid w:val="475F15EE"/>
    <w:rsid w:val="47FE17F4"/>
    <w:rsid w:val="4C0575F5"/>
    <w:rsid w:val="4D9D3B1A"/>
    <w:rsid w:val="4E3A031A"/>
    <w:rsid w:val="4FE62DB2"/>
    <w:rsid w:val="504B7721"/>
    <w:rsid w:val="510C4F82"/>
    <w:rsid w:val="52D10231"/>
    <w:rsid w:val="537806AC"/>
    <w:rsid w:val="53F64B8C"/>
    <w:rsid w:val="55C0633B"/>
    <w:rsid w:val="57A54D6A"/>
    <w:rsid w:val="59D10B16"/>
    <w:rsid w:val="5A0C0C27"/>
    <w:rsid w:val="5ABF3065"/>
    <w:rsid w:val="5AE623A0"/>
    <w:rsid w:val="5B94004E"/>
    <w:rsid w:val="5BE508A9"/>
    <w:rsid w:val="5E007C1C"/>
    <w:rsid w:val="61541B9C"/>
    <w:rsid w:val="686676F6"/>
    <w:rsid w:val="69065646"/>
    <w:rsid w:val="6B0D2C0B"/>
    <w:rsid w:val="6B26608D"/>
    <w:rsid w:val="6D934609"/>
    <w:rsid w:val="6E0E4344"/>
    <w:rsid w:val="6E322CF5"/>
    <w:rsid w:val="6F297677"/>
    <w:rsid w:val="716B18C0"/>
    <w:rsid w:val="719E17CE"/>
    <w:rsid w:val="72404633"/>
    <w:rsid w:val="739E3407"/>
    <w:rsid w:val="73A62BBC"/>
    <w:rsid w:val="74A85200"/>
    <w:rsid w:val="751B4EE4"/>
    <w:rsid w:val="75F01402"/>
    <w:rsid w:val="763444AF"/>
    <w:rsid w:val="77626DFA"/>
    <w:rsid w:val="77FF1415"/>
    <w:rsid w:val="7956298E"/>
    <w:rsid w:val="7A807CC3"/>
    <w:rsid w:val="7B2F3497"/>
    <w:rsid w:val="7CA575E0"/>
    <w:rsid w:val="7D9D53C9"/>
    <w:rsid w:val="7F1D01D6"/>
    <w:rsid w:val="7F8F79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caption"/>
    <w:basedOn w:val="1"/>
    <w:next w:val="1"/>
    <w:unhideWhenUsed/>
    <w:qFormat/>
    <w:uiPriority w:val="0"/>
    <w:rPr>
      <w:rFonts w:ascii="Cambria" w:hAnsi="Cambria" w:eastAsia="黑体"/>
      <w:sz w:val="20"/>
      <w:szCs w:val="20"/>
    </w:rPr>
  </w:style>
  <w:style w:type="paragraph" w:styleId="3">
    <w:name w:val="Body Text"/>
    <w:basedOn w:val="1"/>
    <w:next w:val="4"/>
    <w:qFormat/>
    <w:uiPriority w:val="1"/>
    <w:pPr>
      <w:autoSpaceDE w:val="0"/>
      <w:autoSpaceDN w:val="0"/>
      <w:jc w:val="left"/>
    </w:pPr>
    <w:rPr>
      <w:rFonts w:ascii="宋体" w:hAnsi="宋体" w:cs="宋体"/>
      <w:kern w:val="0"/>
      <w:szCs w:val="21"/>
    </w:rPr>
  </w:style>
  <w:style w:type="paragraph" w:styleId="4">
    <w:name w:val="Title"/>
    <w:basedOn w:val="1"/>
    <w:next w:val="1"/>
    <w:qFormat/>
    <w:uiPriority w:val="0"/>
    <w:pPr>
      <w:spacing w:before="240" w:after="60"/>
      <w:jc w:val="center"/>
      <w:outlineLvl w:val="0"/>
    </w:pPr>
    <w:rPr>
      <w:rFonts w:ascii="Arial" w:hAnsi="Arial" w:cs="Arial"/>
      <w:b/>
      <w:bCs/>
      <w:sz w:val="32"/>
      <w:szCs w:val="32"/>
    </w:rPr>
  </w:style>
  <w:style w:type="paragraph" w:styleId="5">
    <w:name w:val="Balloon Text"/>
    <w:basedOn w:val="1"/>
    <w:semiHidden/>
    <w:qFormat/>
    <w:uiPriority w:val="0"/>
    <w:rPr>
      <w:sz w:val="18"/>
      <w:szCs w:val="18"/>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Strong"/>
    <w:qFormat/>
    <w:uiPriority w:val="0"/>
    <w:rPr>
      <w:b/>
      <w:bCs/>
    </w:rPr>
  </w:style>
  <w:style w:type="character" w:styleId="13">
    <w:name w:val="page number"/>
    <w:basedOn w:val="11"/>
    <w:qFormat/>
    <w:uiPriority w:val="0"/>
  </w:style>
  <w:style w:type="paragraph" w:customStyle="1" w:styleId="14">
    <w:name w:val="前言、引言标题"/>
    <w:next w:val="1"/>
    <w:qFormat/>
    <w:uiPriority w:val="0"/>
    <w:pPr>
      <w:numPr>
        <w:ilvl w:val="0"/>
        <w:numId w:val="1"/>
      </w:numPr>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15">
    <w:name w:val="章标题"/>
    <w:next w:val="1"/>
    <w:qFormat/>
    <w:uiPriority w:val="0"/>
    <w:pPr>
      <w:numPr>
        <w:ilvl w:val="1"/>
        <w:numId w:val="1"/>
      </w:numPr>
      <w:spacing w:before="50" w:beforeLines="50" w:after="50" w:afterLines="50"/>
      <w:jc w:val="both"/>
      <w:outlineLvl w:val="1"/>
    </w:pPr>
    <w:rPr>
      <w:rFonts w:ascii="黑体" w:hAnsi="Times New Roman" w:eastAsia="黑体" w:cs="Times New Roman"/>
      <w:sz w:val="21"/>
      <w:lang w:val="en-US" w:eastAsia="zh-CN" w:bidi="ar-SA"/>
    </w:rPr>
  </w:style>
  <w:style w:type="paragraph" w:customStyle="1" w:styleId="16">
    <w:name w:val="一级条标题"/>
    <w:next w:val="1"/>
    <w:qFormat/>
    <w:uiPriority w:val="0"/>
    <w:pPr>
      <w:numPr>
        <w:ilvl w:val="2"/>
        <w:numId w:val="1"/>
      </w:numPr>
      <w:outlineLvl w:val="2"/>
    </w:pPr>
    <w:rPr>
      <w:rFonts w:ascii="Times New Roman" w:hAnsi="Times New Roman" w:eastAsia="黑体" w:cs="Times New Roman"/>
      <w:sz w:val="21"/>
      <w:lang w:val="en-US" w:eastAsia="zh-CN" w:bidi="ar-SA"/>
    </w:rPr>
  </w:style>
  <w:style w:type="paragraph" w:customStyle="1" w:styleId="17">
    <w:name w:val="二级条标题"/>
    <w:basedOn w:val="16"/>
    <w:next w:val="1"/>
    <w:qFormat/>
    <w:uiPriority w:val="0"/>
    <w:pPr>
      <w:numPr>
        <w:ilvl w:val="3"/>
      </w:numPr>
      <w:outlineLvl w:val="3"/>
    </w:pPr>
  </w:style>
  <w:style w:type="paragraph" w:customStyle="1" w:styleId="18">
    <w:name w:val="目次、标准名称标题"/>
    <w:basedOn w:val="14"/>
    <w:next w:val="1"/>
    <w:qFormat/>
    <w:uiPriority w:val="0"/>
    <w:pPr>
      <w:spacing w:line="460" w:lineRule="exact"/>
    </w:pPr>
  </w:style>
  <w:style w:type="paragraph" w:customStyle="1" w:styleId="19">
    <w:name w:val="三级条标题"/>
    <w:basedOn w:val="17"/>
    <w:next w:val="1"/>
    <w:qFormat/>
    <w:uiPriority w:val="0"/>
    <w:pPr>
      <w:numPr>
        <w:ilvl w:val="4"/>
      </w:numPr>
      <w:outlineLvl w:val="4"/>
    </w:pPr>
  </w:style>
  <w:style w:type="paragraph" w:customStyle="1" w:styleId="20">
    <w:name w:val="四级条标题"/>
    <w:basedOn w:val="19"/>
    <w:next w:val="1"/>
    <w:qFormat/>
    <w:uiPriority w:val="0"/>
    <w:pPr>
      <w:numPr>
        <w:ilvl w:val="5"/>
      </w:numPr>
      <w:outlineLvl w:val="5"/>
    </w:pPr>
  </w:style>
  <w:style w:type="paragraph" w:customStyle="1" w:styleId="21">
    <w:name w:val="五级条标题"/>
    <w:basedOn w:val="20"/>
    <w:next w:val="1"/>
    <w:qFormat/>
    <w:uiPriority w:val="0"/>
    <w:pPr>
      <w:numPr>
        <w:ilvl w:val="6"/>
      </w:numPr>
      <w:outlineLvl w:val="6"/>
    </w:pPr>
  </w:style>
  <w:style w:type="paragraph" w:customStyle="1" w:styleId="22">
    <w:name w:val="段"/>
    <w:link w:val="26"/>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3">
    <w:name w:val="列项——（一级）"/>
    <w:qFormat/>
    <w:uiPriority w:val="0"/>
    <w:pPr>
      <w:widowControl w:val="0"/>
      <w:numPr>
        <w:ilvl w:val="0"/>
        <w:numId w:val="2"/>
      </w:numPr>
      <w:tabs>
        <w:tab w:val="left" w:pos="854"/>
        <w:tab w:val="clear" w:pos="1140"/>
      </w:tabs>
      <w:ind w:left="200" w:leftChars="200" w:hanging="200" w:hangingChars="200"/>
      <w:jc w:val="both"/>
    </w:pPr>
    <w:rPr>
      <w:rFonts w:ascii="宋体" w:hAnsi="Times New Roman" w:eastAsia="宋体" w:cs="Times New Roman"/>
      <w:sz w:val="21"/>
      <w:lang w:val="en-US" w:eastAsia="zh-CN" w:bidi="ar-SA"/>
    </w:rPr>
  </w:style>
  <w:style w:type="paragraph" w:customStyle="1" w:styleId="24">
    <w:name w:val="列项●（二级）"/>
    <w:qFormat/>
    <w:uiPriority w:val="0"/>
    <w:pPr>
      <w:tabs>
        <w:tab w:val="left" w:pos="760"/>
        <w:tab w:val="left" w:pos="840"/>
      </w:tabs>
      <w:ind w:left="1264" w:hanging="413"/>
      <w:jc w:val="both"/>
    </w:pPr>
    <w:rPr>
      <w:rFonts w:ascii="宋体" w:hAnsi="Times New Roman" w:eastAsia="宋体" w:cs="Times New Roman"/>
      <w:sz w:val="21"/>
      <w:lang w:val="en-US" w:eastAsia="zh-CN" w:bidi="ar-SA"/>
    </w:rPr>
  </w:style>
  <w:style w:type="paragraph" w:customStyle="1" w:styleId="25">
    <w:name w:val="列项◆（三级）"/>
    <w:basedOn w:val="1"/>
    <w:qFormat/>
    <w:uiPriority w:val="0"/>
    <w:pPr>
      <w:tabs>
        <w:tab w:val="left" w:pos="1678"/>
      </w:tabs>
      <w:ind w:left="1678" w:hanging="414"/>
    </w:pPr>
    <w:rPr>
      <w:rFonts w:ascii="宋体"/>
      <w:szCs w:val="21"/>
    </w:rPr>
  </w:style>
  <w:style w:type="character" w:customStyle="1" w:styleId="26">
    <w:name w:val="段 Char"/>
    <w:link w:val="22"/>
    <w:qFormat/>
    <w:uiPriority w:val="0"/>
    <w:rPr>
      <w:rFonts w:ascii="宋体"/>
      <w:sz w:val="21"/>
      <w:lang w:val="en-US" w:eastAsia="zh-CN" w:bidi="ar-SA"/>
    </w:rPr>
  </w:style>
  <w:style w:type="paragraph" w:customStyle="1" w:styleId="27">
    <w:name w:val="标准文件_字母编号列项（一级）"/>
    <w:qFormat/>
    <w:uiPriority w:val="0"/>
    <w:pPr>
      <w:numPr>
        <w:ilvl w:val="0"/>
        <w:numId w:val="3"/>
      </w:numPr>
      <w:jc w:val="both"/>
    </w:pPr>
    <w:rPr>
      <w:rFonts w:ascii="宋体" w:hAnsi="Times New Roman" w:eastAsia="宋体" w:cs="Times New Roman"/>
      <w:sz w:val="21"/>
      <w:lang w:val="en-US" w:eastAsia="zh-CN" w:bidi="ar-SA"/>
    </w:rPr>
  </w:style>
  <w:style w:type="table" w:customStyle="1" w:styleId="28">
    <w:name w:val="Table Normal"/>
    <w:semiHidden/>
    <w:unhideWhenUsed/>
    <w:qFormat/>
    <w:uiPriority w:val="2"/>
    <w:pPr>
      <w:widowControl w:val="0"/>
    </w:pPr>
    <w:rPr>
      <w:rFonts w:asciiTheme="minorHAnsi" w:hAnsiTheme="minorHAnsi" w:eastAsiaTheme="minorEastAsia"/>
      <w:sz w:val="22"/>
      <w:szCs w:val="22"/>
      <w:lang w:eastAsia="en-US"/>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D0CB85-ED04-4A80-98E3-B630C89D1402}">
  <ds:schemaRefs/>
</ds:datastoreItem>
</file>

<file path=docProps/app.xml><?xml version="1.0" encoding="utf-8"?>
<Properties xmlns="http://schemas.openxmlformats.org/officeDocument/2006/extended-properties" xmlns:vt="http://schemas.openxmlformats.org/officeDocument/2006/docPropsVTypes">
  <Template>Normal.dotm</Template>
  <Company>CEI</Company>
  <Pages>5</Pages>
  <Words>2427</Words>
  <Characters>2557</Characters>
  <Lines>52</Lines>
  <Paragraphs>14</Paragraphs>
  <TotalTime>1024</TotalTime>
  <ScaleCrop>false</ScaleCrop>
  <LinksUpToDate>false</LinksUpToDate>
  <CharactersWithSpaces>2582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2026-01-29T08:01:00Z</dcterms:created>
  <dc:creator>yangjian</dc:creator>
  <cp:lastModifiedBy>宁静以致远~</cp:lastModifiedBy>
  <cp:lastPrinted>2019-12-03T06:48:00Z</cp:lastPrinted>
  <dcterms:modified xsi:type="dcterms:W3CDTF">2026-06-15T04:03:33Z</dcterms:modified>
  <dc:title>JB/T 4375《电工产品户内户外腐蚀场所使用环境条件》</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eyJoZGlkIjoiYjY5ODdiYWZhYzQxMDhkMWZjZjVjZDA1OGFkNjQzYjgiLCJ1c2VySWQiOiI4NjU1NDkwMjgifQ==</vt:lpwstr>
  </property>
  <property fmtid="{D5CDD505-2E9C-101B-9397-08002B2CF9AE}" pid="3" name="KSOProductBuildVer">
    <vt:lpwstr>2052-12.1.0.26895</vt:lpwstr>
  </property>
  <property fmtid="{D5CDD505-2E9C-101B-9397-08002B2CF9AE}" pid="4" name="ICV">
    <vt:lpwstr>B39724B68E9742A1B2EE780317E85350_13</vt:lpwstr>
  </property>
</Properties>
</file>