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54355">
      <w:pPr>
        <w:pStyle w:val="22"/>
        <w:spacing w:line="360" w:lineRule="auto"/>
        <w:ind w:left="0" w:leftChars="0" w:firstLine="520" w:firstLineChars="100"/>
        <w:jc w:val="both"/>
        <w:rPr>
          <w:rFonts w:ascii="黑体" w:eastAsia="黑体"/>
          <w:sz w:val="30"/>
          <w:szCs w:val="30"/>
        </w:rPr>
      </w:pPr>
      <w:bookmarkStart w:id="0" w:name="SectionMark4"/>
      <w:r>
        <w:rPr>
          <w:rFonts w:hint="eastAsia" w:ascii="Times New Roman" w:hAnsi="Times New Roman" w:eastAsia="黑体"/>
          <w:sz w:val="52"/>
          <w:szCs w:val="52"/>
        </w:rPr>
        <w:t>中国仪器仪表行业协会团体标准</w:t>
      </w:r>
    </w:p>
    <w:p w14:paraId="228E52F1">
      <w:pPr>
        <w:pStyle w:val="22"/>
        <w:spacing w:line="360" w:lineRule="auto"/>
        <w:ind w:firstLine="600"/>
        <w:jc w:val="center"/>
        <w:rPr>
          <w:rFonts w:ascii="黑体" w:eastAsia="黑体"/>
          <w:sz w:val="30"/>
          <w:szCs w:val="30"/>
        </w:rPr>
      </w:pPr>
    </w:p>
    <w:p w14:paraId="65621696">
      <w:pPr>
        <w:pStyle w:val="22"/>
        <w:spacing w:line="360" w:lineRule="auto"/>
        <w:ind w:firstLine="600"/>
        <w:jc w:val="center"/>
        <w:rPr>
          <w:rFonts w:ascii="黑体" w:eastAsia="黑体"/>
          <w:sz w:val="30"/>
          <w:szCs w:val="30"/>
        </w:rPr>
      </w:pPr>
    </w:p>
    <w:p w14:paraId="6195FF1B">
      <w:pPr>
        <w:pStyle w:val="22"/>
        <w:spacing w:line="360" w:lineRule="auto"/>
        <w:ind w:firstLine="600"/>
        <w:jc w:val="center"/>
        <w:rPr>
          <w:rFonts w:ascii="黑体" w:eastAsia="黑体"/>
          <w:sz w:val="30"/>
          <w:szCs w:val="30"/>
        </w:rPr>
      </w:pPr>
    </w:p>
    <w:p w14:paraId="7C8C7411">
      <w:pPr>
        <w:pStyle w:val="22"/>
        <w:spacing w:line="360" w:lineRule="auto"/>
        <w:ind w:firstLine="600"/>
        <w:jc w:val="center"/>
        <w:rPr>
          <w:rFonts w:ascii="黑体" w:eastAsia="黑体"/>
          <w:sz w:val="30"/>
          <w:szCs w:val="30"/>
        </w:rPr>
      </w:pPr>
    </w:p>
    <w:p w14:paraId="36A0B0D7">
      <w:pPr>
        <w:pStyle w:val="22"/>
        <w:spacing w:line="360" w:lineRule="auto"/>
        <w:ind w:firstLine="0" w:firstLineChars="0"/>
        <w:jc w:val="center"/>
        <w:rPr>
          <w:rFonts w:hint="eastAsia" w:ascii="黑体" w:hAnsi="黑体" w:eastAsia="黑体" w:cs="黑体"/>
          <w:sz w:val="44"/>
          <w:szCs w:val="44"/>
        </w:rPr>
      </w:pPr>
      <w:r>
        <w:rPr>
          <w:rFonts w:hint="eastAsia" w:ascii="黑体" w:hAnsi="黑体" w:eastAsia="黑体" w:cs="黑体"/>
          <w:sz w:val="44"/>
          <w:szCs w:val="44"/>
        </w:rPr>
        <w:t>《静止式交流电能表耐久性测试与评价</w:t>
      </w:r>
      <w:r>
        <w:rPr>
          <w:rFonts w:hint="eastAsia" w:ascii="黑体" w:hAnsi="黑体" w:eastAsia="黑体" w:cs="黑体"/>
          <w:sz w:val="44"/>
          <w:szCs w:val="44"/>
        </w:rPr>
        <w:br w:type="textWrapping"/>
      </w:r>
      <w:r>
        <w:rPr>
          <w:rFonts w:hint="eastAsia" w:ascii="黑体" w:hAnsi="黑体" w:eastAsia="黑体" w:cs="黑体"/>
          <w:sz w:val="44"/>
          <w:szCs w:val="44"/>
        </w:rPr>
        <w:t>湿热、亚湿热环境》</w:t>
      </w:r>
      <w:r>
        <w:rPr>
          <w:rFonts w:hint="eastAsia" w:ascii="黑体" w:hAnsi="黑体" w:eastAsia="黑体" w:cs="黑体"/>
          <w:sz w:val="44"/>
          <w:szCs w:val="44"/>
        </w:rPr>
        <w:br w:type="textWrapping"/>
      </w:r>
    </w:p>
    <w:p w14:paraId="6E337303">
      <w:pPr>
        <w:pStyle w:val="22"/>
        <w:spacing w:line="360" w:lineRule="auto"/>
        <w:ind w:firstLine="0" w:firstLineChars="0"/>
        <w:jc w:val="center"/>
        <w:rPr>
          <w:rFonts w:hint="eastAsia" w:ascii="黑体" w:hAnsi="黑体" w:eastAsia="黑体" w:cs="黑体"/>
          <w:sz w:val="44"/>
          <w:szCs w:val="44"/>
        </w:rPr>
      </w:pPr>
      <w:r>
        <w:rPr>
          <w:rFonts w:hint="eastAsia" w:ascii="黑体" w:hAnsi="黑体" w:eastAsia="黑体" w:cs="黑体"/>
          <w:sz w:val="44"/>
          <w:szCs w:val="44"/>
        </w:rPr>
        <w:t>编制说明</w:t>
      </w:r>
      <w:bookmarkEnd w:id="0"/>
    </w:p>
    <w:p w14:paraId="4DFF486E">
      <w:pPr>
        <w:pStyle w:val="22"/>
        <w:spacing w:line="360" w:lineRule="auto"/>
        <w:ind w:firstLine="0" w:firstLineChars="0"/>
        <w:jc w:val="center"/>
        <w:rPr>
          <w:rFonts w:hint="eastAsia" w:ascii="黑体" w:hAnsi="黑体" w:eastAsia="黑体" w:cs="黑体"/>
          <w:sz w:val="44"/>
          <w:szCs w:val="44"/>
        </w:rPr>
      </w:pPr>
    </w:p>
    <w:p w14:paraId="1E6A8AD4">
      <w:pPr>
        <w:pStyle w:val="22"/>
        <w:spacing w:line="360" w:lineRule="auto"/>
        <w:ind w:firstLine="0" w:firstLineChars="0"/>
        <w:jc w:val="center"/>
        <w:rPr>
          <w:rFonts w:hint="eastAsia" w:ascii="黑体" w:hAnsi="黑体" w:eastAsia="黑体" w:cs="黑体"/>
          <w:sz w:val="44"/>
          <w:szCs w:val="44"/>
        </w:rPr>
      </w:pPr>
      <w:r>
        <w:rPr>
          <w:rFonts w:hint="eastAsia" w:ascii="黑体" w:hAnsi="黑体" w:eastAsia="黑体" w:cs="黑体"/>
          <w:sz w:val="28"/>
          <w:szCs w:val="28"/>
        </w:rPr>
        <w:t>（征求意见稿）</w:t>
      </w:r>
    </w:p>
    <w:p w14:paraId="6C19ECFC">
      <w:pPr>
        <w:pStyle w:val="22"/>
        <w:spacing w:line="360" w:lineRule="auto"/>
        <w:ind w:firstLine="0" w:firstLineChars="0"/>
        <w:jc w:val="center"/>
        <w:rPr>
          <w:rFonts w:hint="eastAsia" w:ascii="黑体" w:hAnsi="黑体" w:eastAsia="黑体" w:cs="黑体"/>
          <w:sz w:val="44"/>
          <w:szCs w:val="44"/>
        </w:rPr>
      </w:pPr>
    </w:p>
    <w:p w14:paraId="79EC3898">
      <w:pPr>
        <w:pStyle w:val="22"/>
        <w:spacing w:line="360" w:lineRule="auto"/>
        <w:ind w:firstLine="0" w:firstLineChars="0"/>
        <w:jc w:val="center"/>
        <w:rPr>
          <w:rFonts w:hint="eastAsia" w:ascii="黑体" w:hAnsi="黑体" w:eastAsia="黑体" w:cs="黑体"/>
          <w:sz w:val="44"/>
          <w:szCs w:val="44"/>
        </w:rPr>
      </w:pPr>
    </w:p>
    <w:p w14:paraId="407CA7A3">
      <w:pPr>
        <w:pStyle w:val="22"/>
        <w:spacing w:line="360" w:lineRule="auto"/>
        <w:ind w:firstLine="0" w:firstLineChars="0"/>
        <w:jc w:val="center"/>
        <w:rPr>
          <w:rFonts w:hint="eastAsia" w:ascii="黑体" w:hAnsi="黑体" w:eastAsia="黑体" w:cs="黑体"/>
          <w:sz w:val="44"/>
          <w:szCs w:val="44"/>
        </w:rPr>
      </w:pPr>
      <w:r>
        <w:rPr>
          <w:rFonts w:hint="eastAsia" w:ascii="黑体" w:hAnsi="黑体" w:eastAsia="黑体" w:cs="黑体"/>
          <w:sz w:val="28"/>
          <w:szCs w:val="28"/>
          <w:lang w:val="en-US" w:eastAsia="zh-CN"/>
        </w:rPr>
        <w:t>2026.02</w:t>
      </w:r>
      <w:bookmarkStart w:id="1" w:name="_GoBack"/>
      <w:bookmarkEnd w:id="1"/>
    </w:p>
    <w:p w14:paraId="1590EFFA">
      <w:pPr>
        <w:rPr>
          <w:rFonts w:hint="eastAsia" w:ascii="黑体" w:hAnsi="黑体" w:eastAsia="黑体" w:cs="黑体"/>
          <w:sz w:val="44"/>
          <w:szCs w:val="44"/>
        </w:rPr>
      </w:pPr>
      <w:r>
        <w:rPr>
          <w:rFonts w:hint="eastAsia" w:ascii="黑体" w:hAnsi="黑体" w:eastAsia="黑体" w:cs="黑体"/>
          <w:sz w:val="44"/>
          <w:szCs w:val="44"/>
        </w:rPr>
        <w:br w:type="page"/>
      </w:r>
    </w:p>
    <w:p w14:paraId="53CE7840">
      <w:pPr>
        <w:pStyle w:val="22"/>
        <w:spacing w:before="100" w:beforeAutospacing="1" w:line="360" w:lineRule="auto"/>
        <w:ind w:firstLine="0" w:firstLineChars="0"/>
        <w:rPr>
          <w:b/>
          <w:sz w:val="24"/>
          <w:szCs w:val="24"/>
        </w:rPr>
      </w:pPr>
      <w:r>
        <w:rPr>
          <w:rFonts w:hint="eastAsia"/>
          <w:b/>
          <w:sz w:val="24"/>
          <w:szCs w:val="24"/>
        </w:rPr>
        <w:t>一、工作简况</w:t>
      </w:r>
    </w:p>
    <w:p w14:paraId="126338C4">
      <w:pPr>
        <w:pStyle w:val="22"/>
        <w:spacing w:line="360" w:lineRule="auto"/>
        <w:ind w:left="420" w:firstLine="0" w:firstLineChars="0"/>
        <w:rPr>
          <w:b/>
          <w:sz w:val="24"/>
          <w:szCs w:val="24"/>
        </w:rPr>
      </w:pPr>
      <w:r>
        <w:rPr>
          <w:rFonts w:ascii="宋体" w:hAnsi="宋体" w:cs="宋体"/>
          <w:sz w:val="24"/>
          <w:szCs w:val="24"/>
        </w:rPr>
        <w:t>1</w:t>
      </w:r>
      <w:r>
        <w:rPr>
          <w:rFonts w:hint="eastAsia" w:ascii="宋体" w:hAnsi="宋体" w:cs="宋体"/>
          <w:sz w:val="24"/>
          <w:szCs w:val="24"/>
        </w:rPr>
        <w:t xml:space="preserve"> </w:t>
      </w:r>
      <w:r>
        <w:rPr>
          <w:rFonts w:ascii="宋体" w:hAnsi="宋体" w:cs="宋体"/>
          <w:sz w:val="24"/>
          <w:szCs w:val="24"/>
        </w:rPr>
        <w:t xml:space="preserve"> </w:t>
      </w:r>
      <w:r>
        <w:rPr>
          <w:rFonts w:hint="eastAsia"/>
          <w:b/>
          <w:sz w:val="24"/>
          <w:szCs w:val="24"/>
          <w:lang w:val="en-US" w:eastAsia="zh-CN"/>
        </w:rPr>
        <w:t>任务</w:t>
      </w:r>
      <w:r>
        <w:rPr>
          <w:rFonts w:hint="eastAsia"/>
          <w:b/>
          <w:sz w:val="24"/>
          <w:szCs w:val="24"/>
        </w:rPr>
        <w:t>来源</w:t>
      </w:r>
    </w:p>
    <w:p w14:paraId="2E80A466">
      <w:pPr>
        <w:spacing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本团体标准根据中国仪器仪表行业协会《关于&lt;</w:t>
      </w:r>
      <w:r>
        <w:rPr>
          <w:rFonts w:hint="eastAsia" w:asciiTheme="majorEastAsia" w:hAnsiTheme="majorEastAsia" w:eastAsiaTheme="majorEastAsia" w:cstheme="majorEastAsia"/>
          <w:color w:val="auto"/>
          <w:sz w:val="24"/>
          <w:szCs w:val="24"/>
          <w:lang w:val="en-US" w:eastAsia="zh-CN"/>
        </w:rPr>
        <w:t>大电流开关内置单相电能表</w:t>
      </w:r>
      <w:r>
        <w:rPr>
          <w:rFonts w:hint="eastAsia" w:asciiTheme="majorEastAsia" w:hAnsiTheme="majorEastAsia" w:eastAsiaTheme="majorEastAsia" w:cstheme="majorEastAsia"/>
          <w:color w:val="auto"/>
          <w:sz w:val="24"/>
          <w:szCs w:val="24"/>
        </w:rPr>
        <w:t>&gt;等</w:t>
      </w:r>
      <w:r>
        <w:rPr>
          <w:rFonts w:hint="eastAsia" w:asciiTheme="majorEastAsia" w:hAnsiTheme="majorEastAsia" w:eastAsiaTheme="majorEastAsia" w:cstheme="majorEastAsia"/>
          <w:color w:val="auto"/>
          <w:sz w:val="24"/>
          <w:szCs w:val="24"/>
          <w:lang w:val="en-US" w:eastAsia="zh-CN"/>
        </w:rPr>
        <w:t>7</w:t>
      </w:r>
      <w:r>
        <w:rPr>
          <w:rFonts w:hint="eastAsia" w:asciiTheme="majorEastAsia" w:hAnsiTheme="majorEastAsia" w:eastAsiaTheme="majorEastAsia" w:cstheme="majorEastAsia"/>
          <w:color w:val="auto"/>
          <w:sz w:val="24"/>
          <w:szCs w:val="24"/>
        </w:rPr>
        <w:t>项团体标准立项的批复》（中仪协﹝202</w:t>
      </w:r>
      <w:r>
        <w:rPr>
          <w:rFonts w:hint="eastAsia" w:asciiTheme="majorEastAsia" w:hAnsiTheme="majorEastAsia" w:eastAsiaTheme="majorEastAsia" w:cstheme="majorEastAsia"/>
          <w:color w:val="auto"/>
          <w:sz w:val="24"/>
          <w:szCs w:val="24"/>
          <w:lang w:val="en-US" w:eastAsia="zh-CN"/>
        </w:rPr>
        <w:t>4</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lang w:val="en-US" w:eastAsia="zh-CN"/>
        </w:rPr>
        <w:t>26</w:t>
      </w:r>
      <w:r>
        <w:rPr>
          <w:rFonts w:hint="eastAsia" w:asciiTheme="majorEastAsia" w:hAnsiTheme="majorEastAsia" w:eastAsiaTheme="majorEastAsia" w:cstheme="majorEastAsia"/>
          <w:color w:val="auto"/>
          <w:sz w:val="24"/>
          <w:szCs w:val="24"/>
        </w:rPr>
        <w:t>号）文件立项，项目编号为：</w:t>
      </w:r>
      <w:r>
        <w:rPr>
          <w:rFonts w:hint="eastAsia" w:ascii="宋体"/>
          <w:kern w:val="0"/>
          <w:sz w:val="24"/>
        </w:rPr>
        <w:t>T/CIMA 0179</w:t>
      </w:r>
      <w:r>
        <w:rPr>
          <w:rFonts w:hint="eastAsia" w:asciiTheme="majorEastAsia" w:hAnsiTheme="majorEastAsia" w:eastAsiaTheme="majorEastAsia" w:cstheme="majorEastAsia"/>
          <w:color w:val="auto"/>
          <w:sz w:val="24"/>
          <w:szCs w:val="24"/>
        </w:rPr>
        <w:t>，由中国仪器仪表行业协会电工仪器仪表分会提出，中国仪器仪表行业协会归口。制定计划起止时间为202</w:t>
      </w:r>
      <w:r>
        <w:rPr>
          <w:rFonts w:hint="eastAsia" w:asciiTheme="majorEastAsia" w:hAnsiTheme="majorEastAsia" w:eastAsiaTheme="majorEastAsia" w:cstheme="majorEastAsia"/>
          <w:color w:val="auto"/>
          <w:sz w:val="24"/>
          <w:szCs w:val="24"/>
          <w:lang w:val="en-US" w:eastAsia="zh-CN"/>
        </w:rPr>
        <w:t>5</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lang w:val="en-US" w:eastAsia="zh-CN"/>
        </w:rPr>
        <w:t>1</w:t>
      </w:r>
      <w:r>
        <w:rPr>
          <w:rFonts w:hint="eastAsia" w:asciiTheme="majorEastAsia" w:hAnsiTheme="majorEastAsia" w:eastAsiaTheme="majorEastAsia" w:cstheme="majorEastAsia"/>
          <w:color w:val="auto"/>
          <w:sz w:val="24"/>
          <w:szCs w:val="24"/>
        </w:rPr>
        <w:t>月至202</w:t>
      </w:r>
      <w:r>
        <w:rPr>
          <w:rFonts w:hint="eastAsia" w:asciiTheme="majorEastAsia" w:hAnsiTheme="majorEastAsia" w:eastAsiaTheme="majorEastAsia" w:cstheme="majorEastAsia"/>
          <w:color w:val="auto"/>
          <w:sz w:val="24"/>
          <w:szCs w:val="24"/>
          <w:lang w:val="en-US" w:eastAsia="zh-CN"/>
        </w:rPr>
        <w:t>5</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lang w:val="en-US" w:eastAsia="zh-CN"/>
        </w:rPr>
        <w:t>12</w:t>
      </w:r>
      <w:r>
        <w:rPr>
          <w:rFonts w:hint="eastAsia" w:asciiTheme="majorEastAsia" w:hAnsiTheme="majorEastAsia" w:eastAsiaTheme="majorEastAsia" w:cstheme="majorEastAsia"/>
          <w:color w:val="auto"/>
          <w:sz w:val="24"/>
          <w:szCs w:val="24"/>
        </w:rPr>
        <w:t>月。</w:t>
      </w:r>
    </w:p>
    <w:p w14:paraId="529BAFE1">
      <w:pPr>
        <w:pStyle w:val="22"/>
        <w:spacing w:line="360" w:lineRule="auto"/>
        <w:ind w:left="420" w:firstLine="0" w:firstLineChars="0"/>
        <w:rPr>
          <w:b/>
          <w:sz w:val="24"/>
          <w:szCs w:val="24"/>
        </w:rPr>
      </w:pPr>
      <w:r>
        <w:rPr>
          <w:rFonts w:hint="eastAsia"/>
          <w:b/>
          <w:sz w:val="24"/>
          <w:szCs w:val="24"/>
          <w:lang w:val="en-US" w:eastAsia="zh-CN"/>
        </w:rPr>
        <w:t>2</w:t>
      </w:r>
      <w:r>
        <w:rPr>
          <w:rFonts w:hint="eastAsia"/>
          <w:b/>
          <w:sz w:val="24"/>
          <w:szCs w:val="24"/>
        </w:rPr>
        <w:t xml:space="preserve"> 主要工作过程</w:t>
      </w:r>
    </w:p>
    <w:p w14:paraId="6C2BB33C">
      <w:pPr>
        <w:spacing w:line="400" w:lineRule="exact"/>
        <w:ind w:firstLine="482" w:firstLineChars="200"/>
        <w:rPr>
          <w:rFonts w:hint="default"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b/>
          <w:bCs/>
          <w:color w:val="auto"/>
          <w:sz w:val="24"/>
          <w:szCs w:val="24"/>
        </w:rPr>
        <w:t>202</w:t>
      </w:r>
      <w:r>
        <w:rPr>
          <w:rFonts w:hint="eastAsia" w:asciiTheme="majorEastAsia" w:hAnsiTheme="majorEastAsia" w:eastAsiaTheme="majorEastAsia" w:cstheme="majorEastAsia"/>
          <w:b/>
          <w:bCs/>
          <w:color w:val="auto"/>
          <w:sz w:val="24"/>
          <w:szCs w:val="24"/>
          <w:lang w:val="en-US" w:eastAsia="zh-CN"/>
        </w:rPr>
        <w:t>4</w:t>
      </w:r>
      <w:r>
        <w:rPr>
          <w:rFonts w:hint="eastAsia" w:asciiTheme="majorEastAsia" w:hAnsiTheme="majorEastAsia" w:eastAsiaTheme="majorEastAsia" w:cstheme="majorEastAsia"/>
          <w:b/>
          <w:bCs/>
          <w:color w:val="auto"/>
          <w:sz w:val="24"/>
          <w:szCs w:val="24"/>
        </w:rPr>
        <w:t>年</w:t>
      </w:r>
      <w:r>
        <w:rPr>
          <w:rFonts w:hint="eastAsia" w:asciiTheme="majorEastAsia" w:hAnsiTheme="majorEastAsia" w:eastAsiaTheme="majorEastAsia" w:cstheme="majorEastAsia"/>
          <w:b/>
          <w:bCs/>
          <w:color w:val="auto"/>
          <w:sz w:val="24"/>
          <w:szCs w:val="24"/>
          <w:lang w:val="en-US" w:eastAsia="zh-CN"/>
        </w:rPr>
        <w:t>12</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color w:val="auto"/>
          <w:sz w:val="24"/>
          <w:szCs w:val="24"/>
        </w:rPr>
        <w:t>中国仪器仪表行业协会下达了</w:t>
      </w:r>
      <w:r>
        <w:rPr>
          <w:rFonts w:hint="eastAsia" w:asciiTheme="majorEastAsia" w:hAnsiTheme="majorEastAsia" w:eastAsiaTheme="majorEastAsia" w:cstheme="majorEastAsia"/>
          <w:b/>
          <w:bCs/>
          <w:color w:val="auto"/>
          <w:sz w:val="24"/>
          <w:szCs w:val="24"/>
        </w:rPr>
        <w:t>立项</w:t>
      </w:r>
      <w:r>
        <w:rPr>
          <w:rFonts w:hint="eastAsia" w:asciiTheme="majorEastAsia" w:hAnsiTheme="majorEastAsia" w:eastAsiaTheme="majorEastAsia" w:cstheme="majorEastAsia"/>
          <w:color w:val="auto"/>
          <w:sz w:val="24"/>
          <w:szCs w:val="24"/>
        </w:rPr>
        <w:t>的批复，由</w:t>
      </w:r>
      <w:r>
        <w:rPr>
          <w:rFonts w:hint="eastAsia" w:asciiTheme="majorEastAsia" w:hAnsiTheme="majorEastAsia" w:eastAsiaTheme="majorEastAsia" w:cstheme="majorEastAsia"/>
          <w:color w:val="auto"/>
          <w:sz w:val="24"/>
          <w:szCs w:val="24"/>
          <w:lang w:val="en-US" w:eastAsia="zh-CN"/>
        </w:rPr>
        <w:t>广东电网有限责任公司计量中心</w:t>
      </w:r>
      <w:r>
        <w:rPr>
          <w:rFonts w:hint="eastAsia" w:asciiTheme="majorEastAsia" w:hAnsiTheme="majorEastAsia" w:eastAsiaTheme="majorEastAsia" w:cstheme="majorEastAsia"/>
          <w:color w:val="auto"/>
          <w:sz w:val="24"/>
          <w:szCs w:val="24"/>
        </w:rPr>
        <w:t>牵头，组织成立标准起草工作组。</w:t>
      </w:r>
    </w:p>
    <w:p w14:paraId="75888B0A">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2025年3月</w:t>
      </w:r>
      <w:r>
        <w:rPr>
          <w:rFonts w:hint="eastAsia" w:asciiTheme="majorEastAsia" w:hAnsiTheme="majorEastAsia" w:eastAsiaTheme="majorEastAsia" w:cstheme="majorEastAsia"/>
          <w:b/>
          <w:bCs/>
          <w:color w:val="auto"/>
          <w:sz w:val="24"/>
          <w:szCs w:val="24"/>
          <w:lang w:eastAsia="zh-CN"/>
        </w:rPr>
        <w:t>：</w:t>
      </w:r>
      <w:r>
        <w:rPr>
          <w:rFonts w:hint="eastAsia" w:asciiTheme="majorEastAsia" w:hAnsiTheme="majorEastAsia" w:eastAsiaTheme="majorEastAsia" w:cstheme="majorEastAsia"/>
          <w:color w:val="auto"/>
          <w:sz w:val="24"/>
          <w:szCs w:val="24"/>
        </w:rPr>
        <w:t>在广东省广州市召开了标准</w:t>
      </w:r>
      <w:r>
        <w:rPr>
          <w:rFonts w:hint="eastAsia" w:asciiTheme="majorEastAsia" w:hAnsiTheme="majorEastAsia" w:eastAsiaTheme="majorEastAsia" w:cstheme="majorEastAsia"/>
          <w:b/>
          <w:bCs/>
          <w:color w:val="auto"/>
          <w:sz w:val="24"/>
          <w:szCs w:val="24"/>
          <w:lang w:val="en-US" w:eastAsia="zh-CN"/>
        </w:rPr>
        <w:t>第一次工作组会议</w:t>
      </w:r>
      <w:r>
        <w:rPr>
          <w:rFonts w:hint="eastAsia" w:asciiTheme="majorEastAsia" w:hAnsiTheme="majorEastAsia" w:eastAsiaTheme="majorEastAsia" w:cstheme="majorEastAsia"/>
          <w:color w:val="auto"/>
          <w:sz w:val="24"/>
          <w:szCs w:val="24"/>
        </w:rPr>
        <w:t>，会上标准牵头单位对标准的制修订计划介绍，并对标准草案稿进行了充分的讨论。会上，针对标准的范围对象，建议将原计划的标准名称《湿热亚湿热智能电表耐久性测试与评价方法》修改为《静止式交流电能表耐久性测试与评价 湿热、亚湿热环境》。</w:t>
      </w:r>
    </w:p>
    <w:p w14:paraId="742367D0">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2025年11月</w:t>
      </w:r>
      <w:r>
        <w:rPr>
          <w:rFonts w:hint="eastAsia" w:asciiTheme="majorEastAsia" w:hAnsiTheme="majorEastAsia" w:eastAsiaTheme="majorEastAsia" w:cstheme="majorEastAsia"/>
          <w:b/>
          <w:bCs/>
          <w:color w:val="auto"/>
          <w:sz w:val="24"/>
          <w:szCs w:val="24"/>
          <w:lang w:eastAsia="zh-CN"/>
        </w:rPr>
        <w:t>：</w:t>
      </w:r>
      <w:r>
        <w:rPr>
          <w:rFonts w:hint="eastAsia" w:asciiTheme="majorEastAsia" w:hAnsiTheme="majorEastAsia" w:eastAsiaTheme="majorEastAsia" w:cstheme="majorEastAsia"/>
          <w:color w:val="auto"/>
          <w:sz w:val="24"/>
          <w:szCs w:val="24"/>
        </w:rPr>
        <w:t>在湖北省武汉市召开了标准</w:t>
      </w:r>
      <w:r>
        <w:rPr>
          <w:rFonts w:hint="eastAsia" w:asciiTheme="majorEastAsia" w:hAnsiTheme="majorEastAsia" w:eastAsiaTheme="majorEastAsia" w:cstheme="majorEastAsia"/>
          <w:b/>
          <w:bCs/>
          <w:color w:val="auto"/>
          <w:sz w:val="24"/>
          <w:szCs w:val="24"/>
          <w:lang w:val="en-US" w:eastAsia="zh-CN"/>
        </w:rPr>
        <w:t>第二次</w:t>
      </w:r>
      <w:r>
        <w:rPr>
          <w:rFonts w:hint="eastAsia" w:asciiTheme="majorEastAsia" w:hAnsiTheme="majorEastAsia" w:eastAsiaTheme="majorEastAsia" w:cstheme="majorEastAsia"/>
          <w:b/>
          <w:bCs/>
          <w:color w:val="auto"/>
          <w:sz w:val="24"/>
          <w:szCs w:val="24"/>
        </w:rPr>
        <w:t>工作组</w:t>
      </w:r>
      <w:r>
        <w:rPr>
          <w:rFonts w:hint="eastAsia" w:asciiTheme="majorEastAsia" w:hAnsiTheme="majorEastAsia" w:eastAsiaTheme="majorEastAsia" w:cstheme="majorEastAsia"/>
          <w:b/>
          <w:bCs/>
          <w:color w:val="auto"/>
          <w:sz w:val="24"/>
          <w:szCs w:val="24"/>
          <w:lang w:val="en-US" w:eastAsia="zh-CN"/>
        </w:rPr>
        <w:t>会议</w:t>
      </w:r>
      <w:r>
        <w:rPr>
          <w:rFonts w:hint="eastAsia" w:asciiTheme="majorEastAsia" w:hAnsiTheme="majorEastAsia" w:eastAsiaTheme="majorEastAsia" w:cstheme="majorEastAsia"/>
          <w:color w:val="auto"/>
          <w:sz w:val="24"/>
          <w:szCs w:val="24"/>
        </w:rPr>
        <w:t>，会上标准牵头单位针对2025年3月标准启动会的修改意见以及各单位的意见进行了回复，并对标准工作组讨论稿进行了充分的讨论。</w:t>
      </w:r>
    </w:p>
    <w:p w14:paraId="559BFC6B">
      <w:pPr>
        <w:spacing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标准工作组根据会议上的意见以及相关单位的反馈意见，对标准条目按照GB/T20001.8—2023《标准起草规则 第8部分:评价标准》的要求进行了规范排序，并对标准的内容进行了修改和完善，形成了本标准工作讨论稿</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rPr>
        <w:t>工作组内部针对耐久性试验开展了试验验证。</w:t>
      </w:r>
    </w:p>
    <w:p w14:paraId="6C5F1205">
      <w:pPr>
        <w:spacing w:line="360" w:lineRule="auto"/>
        <w:ind w:firstLine="472" w:firstLineChars="196"/>
        <w:rPr>
          <w:rFonts w:hint="eastAsia" w:ascii="宋体" w:hAnsi="宋体" w:cs="宋体"/>
          <w:bCs/>
          <w:sz w:val="24"/>
          <w:szCs w:val="24"/>
        </w:rPr>
      </w:pPr>
      <w:r>
        <w:rPr>
          <w:rFonts w:hint="eastAsia" w:ascii="宋体" w:hAnsi="宋体" w:cs="宋体"/>
          <w:b/>
          <w:bCs w:val="0"/>
          <w:sz w:val="24"/>
          <w:szCs w:val="24"/>
          <w:lang w:val="en-US" w:eastAsia="zh-CN"/>
        </w:rPr>
        <w:t>2026年2月，</w:t>
      </w:r>
      <w:r>
        <w:rPr>
          <w:rFonts w:hint="eastAsia" w:ascii="宋体" w:hAnsi="宋体" w:cs="宋体"/>
          <w:bCs/>
          <w:sz w:val="24"/>
          <w:szCs w:val="24"/>
        </w:rPr>
        <w:t>标准编制工作组根据第二次会议纪要对工作组讨论稿进行了修改完善，形成</w:t>
      </w:r>
      <w:r>
        <w:rPr>
          <w:rFonts w:hint="eastAsia" w:ascii="宋体" w:hAnsi="宋体" w:cs="宋体"/>
          <w:b/>
          <w:bCs w:val="0"/>
          <w:sz w:val="24"/>
          <w:szCs w:val="24"/>
        </w:rPr>
        <w:t>征求意见稿</w:t>
      </w:r>
      <w:r>
        <w:rPr>
          <w:rFonts w:hint="eastAsia" w:ascii="宋体" w:hAnsi="宋体" w:cs="宋体"/>
          <w:bCs/>
          <w:sz w:val="24"/>
          <w:szCs w:val="24"/>
        </w:rPr>
        <w:t>、征求意见稿编制说明、征求意见汇总处理表。</w:t>
      </w:r>
    </w:p>
    <w:p w14:paraId="2F840043">
      <w:pPr>
        <w:pStyle w:val="3"/>
        <w:rPr>
          <w:rFonts w:hint="eastAsia"/>
        </w:rPr>
      </w:pPr>
    </w:p>
    <w:p w14:paraId="6EAC7CCF">
      <w:pPr>
        <w:pStyle w:val="22"/>
        <w:spacing w:line="360" w:lineRule="auto"/>
        <w:ind w:left="420" w:firstLine="0" w:firstLineChars="0"/>
        <w:rPr>
          <w:b/>
          <w:sz w:val="24"/>
          <w:szCs w:val="24"/>
        </w:rPr>
      </w:pPr>
      <w:r>
        <w:rPr>
          <w:rFonts w:hint="eastAsia"/>
          <w:b/>
          <w:sz w:val="24"/>
          <w:szCs w:val="24"/>
          <w:lang w:val="en-US" w:eastAsia="zh-CN"/>
        </w:rPr>
        <w:t>3</w:t>
      </w:r>
      <w:r>
        <w:rPr>
          <w:rFonts w:hint="eastAsia"/>
          <w:b/>
          <w:sz w:val="24"/>
          <w:szCs w:val="24"/>
        </w:rPr>
        <w:t xml:space="preserve"> 标准主要起草单位和工作组成员及其所做工作</w:t>
      </w:r>
    </w:p>
    <w:p w14:paraId="3CE0C297">
      <w:pPr>
        <w:keepNext w:val="0"/>
        <w:keepLines w:val="0"/>
        <w:pageBreakBefore w:val="0"/>
        <w:kinsoku/>
        <w:wordWrap/>
        <w:overflowPunct/>
        <w:topLinePunct w:val="0"/>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imes New Roman" w:hAnsi="Times New Roman"/>
          <w:sz w:val="24"/>
          <w:szCs w:val="24"/>
        </w:rPr>
        <w:t>标准</w:t>
      </w:r>
      <w:r>
        <w:rPr>
          <w:rFonts w:ascii="Times New Roman" w:hAnsi="Times New Roman"/>
          <w:sz w:val="24"/>
          <w:szCs w:val="24"/>
        </w:rPr>
        <w:t>牵头起草单</w:t>
      </w:r>
      <w:r>
        <w:rPr>
          <w:rFonts w:hint="eastAsia" w:asciiTheme="majorEastAsia" w:hAnsiTheme="majorEastAsia" w:eastAsiaTheme="majorEastAsia" w:cstheme="majorEastAsia"/>
          <w:sz w:val="24"/>
          <w:szCs w:val="24"/>
          <w:lang w:val="en-US" w:eastAsia="zh-CN"/>
        </w:rPr>
        <w:t>位是广东电网有限责任公司计量中心，主要起草单位有哈尔滨电工仪表研究所有限公司、广东电网有限责任公司、中国电器科学研究院股份有限公司、黑龙江省电工仪器仪表工程技术研究中心有限公司、河南许继仪表有限公司、华立科技股份有限公司、德力西集团仪器仪表有限公司 等。</w:t>
      </w:r>
    </w:p>
    <w:p w14:paraId="7EB3D703">
      <w:pPr>
        <w:keepNext w:val="0"/>
        <w:keepLines w:val="0"/>
        <w:pageBreakBefore w:val="0"/>
        <w:kinsoku/>
        <w:wordWrap/>
        <w:overflowPunct/>
        <w:topLinePunct w:val="0"/>
        <w:bidi w:val="0"/>
        <w:adjustRightInd/>
        <w:snapToGrid/>
        <w:spacing w:line="400" w:lineRule="exact"/>
        <w:ind w:firstLine="480" w:firstLineChars="200"/>
        <w:textAlignment w:val="auto"/>
        <w:rPr>
          <w:rFonts w:ascii="Times New Roman"/>
          <w:sz w:val="24"/>
          <w:szCs w:val="24"/>
        </w:rPr>
      </w:pPr>
      <w:r>
        <w:rPr>
          <w:rFonts w:hint="eastAsia" w:asciiTheme="majorEastAsia" w:hAnsiTheme="majorEastAsia" w:eastAsiaTheme="majorEastAsia" w:cstheme="majorEastAsia"/>
          <w:sz w:val="24"/>
          <w:szCs w:val="24"/>
          <w:lang w:val="en-US" w:eastAsia="zh-CN"/>
        </w:rPr>
        <w:t>广东电网有限责任公司计量中心</w:t>
      </w:r>
      <w:r>
        <w:rPr>
          <w:rFonts w:ascii="Times New Roman"/>
          <w:sz w:val="24"/>
          <w:szCs w:val="24"/>
        </w:rPr>
        <w:t>作为执笔单位负责了本标准的工作组讨论稿和征求意见稿的起草、修改工作。</w:t>
      </w:r>
    </w:p>
    <w:p w14:paraId="025BBFF6">
      <w:pPr>
        <w:pStyle w:val="22"/>
        <w:keepNext w:val="0"/>
        <w:keepLines w:val="0"/>
        <w:pageBreakBefore w:val="0"/>
        <w:tabs>
          <w:tab w:val="center" w:pos="4201"/>
          <w:tab w:val="right" w:leader="dot" w:pos="9298"/>
        </w:tabs>
        <w:kinsoku/>
        <w:wordWrap/>
        <w:overflowPunct/>
        <w:topLinePunct w:val="0"/>
        <w:bidi w:val="0"/>
        <w:adjustRightInd/>
        <w:snapToGrid/>
        <w:spacing w:line="400" w:lineRule="exact"/>
        <w:ind w:firstLine="480"/>
        <w:textAlignment w:val="auto"/>
        <w:rPr>
          <w:rFonts w:ascii="Times New Roman"/>
          <w:sz w:val="24"/>
          <w:szCs w:val="24"/>
        </w:rPr>
      </w:pPr>
      <w:r>
        <w:rPr>
          <w:rFonts w:ascii="Times New Roman"/>
          <w:sz w:val="24"/>
          <w:szCs w:val="24"/>
        </w:rPr>
        <w:t>本标准主要起草人：</w:t>
      </w:r>
      <w:r>
        <w:rPr>
          <w:rFonts w:hint="eastAsia" w:ascii="Calibri" w:hAnsi="宋体" w:cs="宋体"/>
          <w:kern w:val="2"/>
          <w:sz w:val="24"/>
          <w:szCs w:val="24"/>
          <w:lang w:val="en-US" w:eastAsia="zh-CN"/>
        </w:rPr>
        <w:t>赵闻、宋强、陈心欣、张捷、吴佳享</w:t>
      </w:r>
      <w:r>
        <w:rPr>
          <w:rFonts w:hint="eastAsia" w:ascii="Calibri" w:hAnsi="宋体" w:cs="宋体"/>
          <w:kern w:val="2"/>
          <w:sz w:val="24"/>
          <w:szCs w:val="24"/>
        </w:rPr>
        <w:t>等。</w:t>
      </w:r>
    </w:p>
    <w:p w14:paraId="6B3CCADC">
      <w:pPr>
        <w:keepNext w:val="0"/>
        <w:keepLines w:val="0"/>
        <w:pageBreakBefore w:val="0"/>
        <w:kinsoku/>
        <w:wordWrap/>
        <w:overflowPunct/>
        <w:topLinePunct w:val="0"/>
        <w:bidi w:val="0"/>
        <w:adjustRightInd/>
        <w:snapToGrid/>
        <w:spacing w:line="400" w:lineRule="exact"/>
        <w:ind w:firstLine="480" w:firstLineChars="200"/>
        <w:textAlignment w:val="auto"/>
        <w:rPr>
          <w:rFonts w:ascii="Times New Roman" w:hAnsi="Times New Roman"/>
          <w:kern w:val="0"/>
          <w:sz w:val="24"/>
          <w:szCs w:val="24"/>
        </w:rPr>
      </w:pPr>
      <w:r>
        <w:rPr>
          <w:rFonts w:hint="eastAsia" w:ascii="Calibri" w:hAnsi="宋体" w:cs="宋体"/>
          <w:kern w:val="2"/>
          <w:sz w:val="24"/>
          <w:szCs w:val="24"/>
          <w:lang w:val="en-US" w:eastAsia="zh-CN"/>
        </w:rPr>
        <w:t>赵闻</w:t>
      </w:r>
      <w:r>
        <w:rPr>
          <w:rFonts w:hint="eastAsia" w:ascii="Times New Roman" w:hAnsi="Times New Roman"/>
          <w:kern w:val="0"/>
          <w:sz w:val="24"/>
          <w:szCs w:val="24"/>
        </w:rPr>
        <w:t>为本标准的主笔人，负责标准的编写，</w:t>
      </w:r>
      <w:r>
        <w:rPr>
          <w:rFonts w:hint="eastAsia"/>
          <w:kern w:val="0"/>
          <w:sz w:val="24"/>
          <w:szCs w:val="24"/>
          <w:lang w:val="en-US" w:eastAsia="zh-CN"/>
        </w:rPr>
        <w:t>宋强</w:t>
      </w:r>
      <w:r>
        <w:rPr>
          <w:rFonts w:hint="eastAsia" w:ascii="Times New Roman" w:hAnsi="Times New Roman"/>
          <w:kern w:val="0"/>
          <w:sz w:val="24"/>
          <w:szCs w:val="24"/>
        </w:rPr>
        <w:t>为本标准起草工作组的组长，负责标准的编写进程和组织协调工作。</w:t>
      </w:r>
      <w:r>
        <w:rPr>
          <w:rFonts w:hint="eastAsia"/>
          <w:kern w:val="0"/>
          <w:sz w:val="24"/>
          <w:szCs w:val="24"/>
          <w:lang w:val="en-US" w:eastAsia="zh-CN"/>
        </w:rPr>
        <w:t>张捷、陈心欣、吴佳享</w:t>
      </w:r>
      <w:r>
        <w:rPr>
          <w:rFonts w:hint="eastAsia" w:ascii="Times New Roman" w:hAnsi="Times New Roman"/>
          <w:kern w:val="0"/>
          <w:sz w:val="24"/>
          <w:szCs w:val="24"/>
        </w:rPr>
        <w:t>等为本标准起草工作组的组员</w:t>
      </w:r>
      <w:r>
        <w:rPr>
          <w:rFonts w:hint="eastAsia" w:ascii="Calibri" w:hAnsi="宋体" w:cs="宋体"/>
          <w:kern w:val="2"/>
          <w:sz w:val="24"/>
          <w:szCs w:val="24"/>
          <w:lang w:val="en-US" w:eastAsia="zh-CN"/>
        </w:rPr>
        <w:t>张捷主要负责第1章~第4章编制，陈心欣主要负责第5章~第7章编制，吴佳享主要负责附录资料编制。</w:t>
      </w:r>
    </w:p>
    <w:p w14:paraId="66318DB6">
      <w:pPr>
        <w:pStyle w:val="22"/>
        <w:spacing w:before="100" w:beforeAutospacing="1" w:line="360" w:lineRule="auto"/>
        <w:ind w:firstLine="0" w:firstLineChars="0"/>
        <w:rPr>
          <w:rFonts w:hint="default" w:eastAsia="宋体"/>
          <w:b/>
          <w:sz w:val="24"/>
          <w:szCs w:val="24"/>
          <w:lang w:val="en-US" w:eastAsia="zh-CN"/>
        </w:rPr>
      </w:pPr>
      <w:r>
        <w:rPr>
          <w:rFonts w:hint="eastAsia"/>
          <w:b/>
          <w:sz w:val="24"/>
          <w:szCs w:val="24"/>
        </w:rPr>
        <w:t>二、标准编制原则、主要</w:t>
      </w:r>
      <w:r>
        <w:rPr>
          <w:rFonts w:hint="eastAsia"/>
          <w:b/>
          <w:sz w:val="24"/>
          <w:szCs w:val="24"/>
          <w:lang w:val="en-US" w:eastAsia="zh-CN"/>
        </w:rPr>
        <w:t>技术</w:t>
      </w:r>
      <w:r>
        <w:rPr>
          <w:rFonts w:hint="eastAsia"/>
          <w:b/>
          <w:sz w:val="24"/>
          <w:szCs w:val="24"/>
        </w:rPr>
        <w:t>内容</w:t>
      </w:r>
      <w:r>
        <w:rPr>
          <w:rFonts w:hint="eastAsia"/>
          <w:b/>
          <w:sz w:val="24"/>
          <w:szCs w:val="24"/>
          <w:lang w:val="en-US" w:eastAsia="zh-CN"/>
        </w:rPr>
        <w:t>确定的依据</w:t>
      </w:r>
    </w:p>
    <w:p w14:paraId="297570C4">
      <w:pPr>
        <w:pStyle w:val="22"/>
        <w:spacing w:line="360" w:lineRule="auto"/>
        <w:ind w:left="420" w:firstLine="0" w:firstLineChars="0"/>
        <w:rPr>
          <w:b/>
          <w:sz w:val="24"/>
          <w:szCs w:val="24"/>
        </w:rPr>
      </w:pPr>
      <w:r>
        <w:rPr>
          <w:rFonts w:hint="eastAsia"/>
          <w:b/>
          <w:sz w:val="24"/>
          <w:szCs w:val="24"/>
          <w:lang w:val="en-US" w:eastAsia="zh-CN"/>
        </w:rPr>
        <w:t>1</w:t>
      </w:r>
      <w:r>
        <w:rPr>
          <w:rFonts w:hint="eastAsia"/>
          <w:b/>
          <w:sz w:val="24"/>
          <w:szCs w:val="24"/>
        </w:rPr>
        <w:t xml:space="preserve"> 标准编制原则</w:t>
      </w:r>
    </w:p>
    <w:p w14:paraId="000B17A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eastAsia="宋体"/>
          <w:kern w:val="0"/>
          <w:sz w:val="24"/>
          <w:lang w:eastAsia="zh-CN"/>
        </w:rPr>
      </w:pPr>
      <w:r>
        <w:rPr>
          <w:rFonts w:hint="eastAsia" w:ascii="宋体"/>
          <w:kern w:val="0"/>
          <w:sz w:val="24"/>
        </w:rPr>
        <w:t>本标准的格式按照GB/T 1.1-2020</w:t>
      </w:r>
      <w:r>
        <w:rPr>
          <w:rFonts w:hint="eastAsia" w:ascii="宋体" w:hAnsi="宋体"/>
          <w:kern w:val="0"/>
          <w:sz w:val="24"/>
        </w:rPr>
        <w:t>《标准化工作导则—第1部分：标准化文件的结构和起草规则》以及</w:t>
      </w:r>
      <w:r>
        <w:rPr>
          <w:rFonts w:ascii="宋体"/>
          <w:kern w:val="0"/>
          <w:sz w:val="24"/>
        </w:rPr>
        <w:t>GB/T20001.8</w:t>
      </w:r>
      <w:r>
        <w:rPr>
          <w:rFonts w:hint="eastAsia" w:ascii="宋体"/>
          <w:kern w:val="0"/>
          <w:sz w:val="24"/>
        </w:rPr>
        <w:t>—</w:t>
      </w:r>
      <w:r>
        <w:rPr>
          <w:rFonts w:ascii="宋体"/>
          <w:kern w:val="0"/>
          <w:sz w:val="24"/>
        </w:rPr>
        <w:t>2023</w:t>
      </w:r>
      <w:r>
        <w:rPr>
          <w:rFonts w:hint="eastAsia" w:ascii="宋体"/>
          <w:kern w:val="0"/>
          <w:sz w:val="24"/>
        </w:rPr>
        <w:t>《标准起草规则 第8部分:评价标准》的规定编写，其技术内容结合了国内外行业内的技术发展，体现行业内的发展趋势</w:t>
      </w:r>
      <w:r>
        <w:rPr>
          <w:rFonts w:hint="eastAsia" w:ascii="宋体"/>
          <w:kern w:val="0"/>
          <w:sz w:val="24"/>
          <w:lang w:eastAsia="zh-CN"/>
        </w:rPr>
        <w:t>。</w:t>
      </w:r>
    </w:p>
    <w:p w14:paraId="54FF8391">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b/>
          <w:sz w:val="24"/>
          <w:szCs w:val="24"/>
        </w:rPr>
      </w:pPr>
      <w:r>
        <w:rPr>
          <w:rFonts w:hint="eastAsia"/>
          <w:b/>
          <w:sz w:val="24"/>
          <w:szCs w:val="24"/>
          <w:lang w:val="en-US" w:eastAsia="zh-CN"/>
        </w:rPr>
        <w:t>2</w:t>
      </w:r>
      <w:r>
        <w:rPr>
          <w:rFonts w:hint="eastAsia"/>
          <w:b/>
          <w:sz w:val="24"/>
          <w:szCs w:val="24"/>
        </w:rPr>
        <w:t xml:space="preserve"> 主要</w:t>
      </w:r>
      <w:r>
        <w:rPr>
          <w:rFonts w:hint="eastAsia"/>
          <w:b/>
          <w:sz w:val="24"/>
          <w:szCs w:val="24"/>
          <w:lang w:val="en-US" w:eastAsia="zh-CN"/>
        </w:rPr>
        <w:t>技术</w:t>
      </w:r>
      <w:r>
        <w:rPr>
          <w:rFonts w:hint="eastAsia"/>
          <w:b/>
          <w:sz w:val="24"/>
          <w:szCs w:val="24"/>
        </w:rPr>
        <w:t>内容的</w:t>
      </w:r>
      <w:r>
        <w:rPr>
          <w:rFonts w:hint="eastAsia"/>
          <w:b/>
          <w:sz w:val="24"/>
          <w:szCs w:val="24"/>
          <w:lang w:val="en-US" w:eastAsia="zh-CN"/>
        </w:rPr>
        <w:t>依据</w:t>
      </w:r>
    </w:p>
    <w:p w14:paraId="26DF830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kern w:val="0"/>
          <w:sz w:val="24"/>
        </w:rPr>
      </w:pPr>
      <w:r>
        <w:rPr>
          <w:rFonts w:hint="eastAsia" w:ascii="宋体"/>
          <w:kern w:val="0"/>
          <w:sz w:val="24"/>
        </w:rPr>
        <w:t>本标准当中涉及的静止式交流电能表的相关技术要求参考了GB/T 17215.321-2021等相关的国家标准及行业标准，针对环境试验的相关技术要求参考了GB/T 2423《环境试验 第2部分：试验方法》系列标准，在此基础上，结合我国湿热、亚湿热地区的气候条件以及在此地区使用的电能表的实际使用及失效状况，规定了相关的技术内容。</w:t>
      </w:r>
    </w:p>
    <w:p w14:paraId="3894FADF">
      <w:pPr>
        <w:pStyle w:val="22"/>
        <w:spacing w:before="100" w:beforeAutospacing="1" w:line="360" w:lineRule="auto"/>
        <w:ind w:firstLine="0" w:firstLineChars="0"/>
        <w:rPr>
          <w:b/>
          <w:sz w:val="24"/>
          <w:szCs w:val="24"/>
        </w:rPr>
      </w:pPr>
      <w:r>
        <w:rPr>
          <w:rFonts w:hint="eastAsia"/>
          <w:b/>
          <w:sz w:val="24"/>
          <w:szCs w:val="24"/>
        </w:rPr>
        <w:t>三、主要试验情况分析</w:t>
      </w:r>
    </w:p>
    <w:p w14:paraId="2E51B51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试验情况说明见附件1。</w:t>
      </w:r>
    </w:p>
    <w:p w14:paraId="7A512996">
      <w:pPr>
        <w:pStyle w:val="22"/>
        <w:spacing w:before="100" w:beforeAutospacing="1" w:line="360" w:lineRule="auto"/>
        <w:ind w:firstLine="0" w:firstLineChars="0"/>
        <w:rPr>
          <w:b/>
          <w:sz w:val="24"/>
          <w:szCs w:val="24"/>
        </w:rPr>
      </w:pPr>
      <w:r>
        <w:rPr>
          <w:rFonts w:hint="eastAsia"/>
          <w:b/>
          <w:sz w:val="24"/>
          <w:szCs w:val="24"/>
        </w:rPr>
        <w:t>四、专利处理说明</w:t>
      </w:r>
    </w:p>
    <w:p w14:paraId="086C41D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本标准不涉及专利。</w:t>
      </w:r>
    </w:p>
    <w:p w14:paraId="00F37A28">
      <w:pPr>
        <w:pStyle w:val="22"/>
        <w:spacing w:before="100" w:beforeAutospacing="1" w:line="360" w:lineRule="auto"/>
        <w:ind w:firstLine="0" w:firstLineChars="0"/>
        <w:rPr>
          <w:b/>
          <w:sz w:val="24"/>
          <w:szCs w:val="24"/>
        </w:rPr>
      </w:pPr>
      <w:r>
        <w:rPr>
          <w:rFonts w:hint="eastAsia"/>
          <w:b/>
          <w:sz w:val="24"/>
          <w:szCs w:val="24"/>
        </w:rPr>
        <w:t>五、预期达到的社会效益以及对产业发展的作用</w:t>
      </w:r>
    </w:p>
    <w:p w14:paraId="26CB311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本标准的制定，有助于湿热、亚湿热地区开展电能表的寿命评估，从而确保电能表的长期稳定运行和精准</w:t>
      </w:r>
      <w:r>
        <w:rPr>
          <w:rFonts w:hint="eastAsia" w:ascii="宋体"/>
          <w:kern w:val="0"/>
          <w:sz w:val="24"/>
          <w:lang w:val="en-US" w:eastAsia="zh-CN"/>
        </w:rPr>
        <w:t>计量</w:t>
      </w:r>
      <w:r>
        <w:rPr>
          <w:rFonts w:hint="eastAsia" w:ascii="宋体"/>
          <w:kern w:val="0"/>
          <w:sz w:val="24"/>
        </w:rPr>
        <w:t>，提高能源利用效率，降低维修成本。</w:t>
      </w:r>
    </w:p>
    <w:p w14:paraId="7EC15396">
      <w:pPr>
        <w:pStyle w:val="22"/>
        <w:spacing w:before="100" w:beforeAutospacing="1" w:line="360" w:lineRule="auto"/>
        <w:ind w:firstLine="0" w:firstLineChars="0"/>
        <w:rPr>
          <w:b/>
          <w:sz w:val="24"/>
          <w:szCs w:val="24"/>
        </w:rPr>
      </w:pPr>
      <w:r>
        <w:rPr>
          <w:rFonts w:hint="eastAsia"/>
          <w:b/>
          <w:sz w:val="24"/>
          <w:szCs w:val="24"/>
        </w:rPr>
        <w:t>六、采用国际标准和国外先进标准情况，与国际、国外同类标准</w:t>
      </w:r>
      <w:r>
        <w:rPr>
          <w:rFonts w:hint="eastAsia"/>
          <w:b/>
          <w:sz w:val="24"/>
          <w:szCs w:val="24"/>
          <w:lang w:val="en-US" w:eastAsia="zh-CN"/>
        </w:rPr>
        <w:t>协调</w:t>
      </w:r>
      <w:r>
        <w:rPr>
          <w:rFonts w:hint="eastAsia"/>
          <w:b/>
          <w:sz w:val="24"/>
          <w:szCs w:val="24"/>
        </w:rPr>
        <w:t>情况</w:t>
      </w:r>
    </w:p>
    <w:p w14:paraId="24C2D1A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本标准不是直接采用国际标准或国外标准，而是我国自主研制的标准；但本标准的技术内容与相关国际标准相互协调。</w:t>
      </w:r>
    </w:p>
    <w:p w14:paraId="107B68E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本标准针对我国湿热、亚湿热地区静止式交流电能表的特殊应用条件进行制定，是对我国仪器仪表行业的标准体系的完善和重要补充。</w:t>
      </w:r>
    </w:p>
    <w:p w14:paraId="0791D2BD">
      <w:pPr>
        <w:pStyle w:val="22"/>
        <w:spacing w:before="100" w:beforeAutospacing="1" w:line="360" w:lineRule="auto"/>
        <w:ind w:firstLine="0" w:firstLineChars="0"/>
        <w:rPr>
          <w:rFonts w:hint="default" w:eastAsia="宋体"/>
          <w:b/>
          <w:sz w:val="24"/>
          <w:szCs w:val="24"/>
          <w:lang w:val="en-US" w:eastAsia="zh-CN"/>
        </w:rPr>
      </w:pPr>
      <w:r>
        <w:rPr>
          <w:rFonts w:hint="eastAsia"/>
          <w:b/>
          <w:sz w:val="24"/>
          <w:szCs w:val="24"/>
        </w:rPr>
        <w:t>七、标准与现</w:t>
      </w:r>
      <w:r>
        <w:rPr>
          <w:rFonts w:hint="eastAsia"/>
          <w:b/>
          <w:sz w:val="24"/>
          <w:szCs w:val="24"/>
          <w:lang w:val="en-US" w:eastAsia="zh-CN"/>
        </w:rPr>
        <w:t>有标准</w:t>
      </w:r>
      <w:r>
        <w:rPr>
          <w:rFonts w:hint="eastAsia"/>
          <w:b/>
          <w:sz w:val="24"/>
          <w:szCs w:val="24"/>
        </w:rPr>
        <w:t>及</w:t>
      </w:r>
      <w:r>
        <w:rPr>
          <w:rFonts w:hint="eastAsia"/>
          <w:b/>
          <w:sz w:val="24"/>
          <w:szCs w:val="24"/>
          <w:lang w:val="en-US" w:eastAsia="zh-CN"/>
        </w:rPr>
        <w:t>制定中</w:t>
      </w:r>
      <w:r>
        <w:rPr>
          <w:rFonts w:hint="eastAsia"/>
          <w:b/>
          <w:sz w:val="24"/>
          <w:szCs w:val="24"/>
        </w:rPr>
        <w:t>标准的协调</w:t>
      </w:r>
      <w:r>
        <w:rPr>
          <w:rFonts w:hint="eastAsia"/>
          <w:b/>
          <w:sz w:val="24"/>
          <w:szCs w:val="24"/>
          <w:lang w:val="en-US" w:eastAsia="zh-CN"/>
        </w:rPr>
        <w:t>配套情况</w:t>
      </w:r>
    </w:p>
    <w:p w14:paraId="3982DB0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本标准与现行相关法律、法规、规章及相关标准，特别是强制性标准协调一致。</w:t>
      </w:r>
    </w:p>
    <w:p w14:paraId="078C8636">
      <w:pPr>
        <w:pStyle w:val="22"/>
        <w:spacing w:before="100" w:beforeAutospacing="1" w:line="360" w:lineRule="auto"/>
        <w:ind w:firstLine="0" w:firstLineChars="0"/>
        <w:rPr>
          <w:b/>
          <w:sz w:val="24"/>
          <w:szCs w:val="24"/>
        </w:rPr>
      </w:pPr>
      <w:r>
        <w:rPr>
          <w:rFonts w:hint="eastAsia"/>
          <w:b/>
          <w:sz w:val="24"/>
          <w:szCs w:val="24"/>
        </w:rPr>
        <w:t>八、重大分岐意见的处理经过和依据</w:t>
      </w:r>
    </w:p>
    <w:p w14:paraId="3BDE09DF">
      <w:pPr>
        <w:pStyle w:val="22"/>
        <w:spacing w:before="100" w:beforeAutospacing="1" w:line="360" w:lineRule="auto"/>
        <w:ind w:firstLine="0" w:firstLineChars="0"/>
        <w:rPr>
          <w:rFonts w:hint="default"/>
          <w:kern w:val="0"/>
          <w:sz w:val="24"/>
          <w:lang w:val="en-US" w:eastAsia="zh-CN"/>
        </w:rPr>
      </w:pPr>
      <w:r>
        <w:rPr>
          <w:rFonts w:hint="eastAsia"/>
          <w:kern w:val="0"/>
          <w:sz w:val="24"/>
          <w:lang w:val="en-US" w:eastAsia="zh-CN"/>
        </w:rPr>
        <w:t xml:space="preserve">    无。</w:t>
      </w:r>
    </w:p>
    <w:p w14:paraId="7F815EEE">
      <w:pPr>
        <w:pStyle w:val="22"/>
        <w:spacing w:before="100" w:beforeAutospacing="1" w:line="360" w:lineRule="auto"/>
        <w:ind w:firstLine="0" w:firstLineChars="0"/>
        <w:rPr>
          <w:b/>
          <w:sz w:val="24"/>
          <w:szCs w:val="24"/>
        </w:rPr>
      </w:pPr>
      <w:r>
        <w:rPr>
          <w:rFonts w:hint="eastAsia"/>
          <w:b/>
          <w:sz w:val="24"/>
          <w:szCs w:val="24"/>
        </w:rPr>
        <w:t>九、标准性质的建议说明</w:t>
      </w:r>
    </w:p>
    <w:p w14:paraId="293D622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建议本标准为推荐性标准。</w:t>
      </w:r>
    </w:p>
    <w:p w14:paraId="4C155F48">
      <w:pPr>
        <w:pStyle w:val="22"/>
        <w:spacing w:before="100" w:beforeAutospacing="1" w:line="360" w:lineRule="auto"/>
        <w:ind w:firstLine="0" w:firstLineChars="0"/>
        <w:rPr>
          <w:b/>
          <w:sz w:val="24"/>
          <w:szCs w:val="24"/>
        </w:rPr>
      </w:pPr>
      <w:r>
        <w:rPr>
          <w:rFonts w:hint="eastAsia"/>
          <w:b/>
          <w:sz w:val="24"/>
          <w:szCs w:val="24"/>
        </w:rPr>
        <w:t>十、贯彻标准的要求和措施建议</w:t>
      </w:r>
    </w:p>
    <w:p w14:paraId="7AF6A02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本标准建议在发布实施后开展相关的宣传贯彻工作。</w:t>
      </w:r>
    </w:p>
    <w:p w14:paraId="6C89B029">
      <w:pPr>
        <w:pStyle w:val="22"/>
        <w:spacing w:before="100" w:beforeAutospacing="1" w:line="360" w:lineRule="auto"/>
        <w:ind w:firstLine="0" w:firstLineChars="0"/>
        <w:rPr>
          <w:b/>
          <w:sz w:val="24"/>
          <w:szCs w:val="24"/>
        </w:rPr>
      </w:pPr>
      <w:r>
        <w:rPr>
          <w:rFonts w:hint="eastAsia"/>
          <w:b/>
          <w:sz w:val="24"/>
          <w:szCs w:val="24"/>
        </w:rPr>
        <w:t>十一、废止现行相关标准的建议</w:t>
      </w:r>
    </w:p>
    <w:p w14:paraId="222B0171">
      <w:pPr>
        <w:spacing w:line="360" w:lineRule="auto"/>
        <w:ind w:firstLine="480" w:firstLineChars="200"/>
        <w:rPr>
          <w:rFonts w:ascii="宋体"/>
          <w:kern w:val="0"/>
          <w:sz w:val="24"/>
        </w:rPr>
      </w:pPr>
      <w:r>
        <w:rPr>
          <w:rFonts w:hint="eastAsia" w:ascii="宋体"/>
          <w:kern w:val="0"/>
          <w:sz w:val="24"/>
        </w:rPr>
        <w:t>无。</w:t>
      </w:r>
    </w:p>
    <w:p w14:paraId="69259881">
      <w:pPr>
        <w:pStyle w:val="22"/>
        <w:spacing w:before="100" w:beforeAutospacing="1" w:line="360" w:lineRule="auto"/>
        <w:ind w:firstLine="0" w:firstLineChars="0"/>
        <w:rPr>
          <w:b/>
          <w:sz w:val="24"/>
          <w:szCs w:val="24"/>
        </w:rPr>
      </w:pPr>
      <w:r>
        <w:rPr>
          <w:rFonts w:hint="eastAsia"/>
          <w:b/>
          <w:sz w:val="24"/>
          <w:szCs w:val="24"/>
        </w:rPr>
        <w:t>十二、其它应予以说明的事项</w:t>
      </w:r>
    </w:p>
    <w:p w14:paraId="765A974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中国仪器仪表行业协会电工仪器仪表分会</w:t>
      </w:r>
      <w:r>
        <w:rPr>
          <w:rFonts w:hint="eastAsia" w:ascii="宋体"/>
          <w:kern w:val="0"/>
          <w:sz w:val="24"/>
          <w:lang w:val="en-US" w:eastAsia="zh-CN"/>
        </w:rPr>
        <w:t>于</w:t>
      </w:r>
      <w:r>
        <w:rPr>
          <w:rFonts w:hint="eastAsia" w:ascii="宋体"/>
          <w:kern w:val="0"/>
          <w:sz w:val="24"/>
        </w:rPr>
        <w:t>2025年3月27日在广州组织召开了的第一次工作组会议中，经专家讨论建议</w:t>
      </w:r>
      <w:r>
        <w:rPr>
          <w:rFonts w:hint="eastAsia" w:ascii="宋体"/>
          <w:kern w:val="0"/>
          <w:sz w:val="24"/>
          <w:lang w:eastAsia="zh-CN"/>
        </w:rPr>
        <w:t>，</w:t>
      </w:r>
      <w:r>
        <w:rPr>
          <w:rFonts w:hint="eastAsia" w:ascii="宋体"/>
          <w:kern w:val="0"/>
          <w:sz w:val="24"/>
        </w:rPr>
        <w:t>标准标题改为“静止式交流电能表耐久性测试与评价 湿热、亚湿热环境”。</w:t>
      </w:r>
    </w:p>
    <w:p w14:paraId="6BC6E5A5">
      <w:pPr>
        <w:spacing w:line="360" w:lineRule="auto"/>
        <w:ind w:firstLine="480" w:firstLineChars="200"/>
        <w:jc w:val="right"/>
        <w:rPr>
          <w:kern w:val="0"/>
          <w:sz w:val="24"/>
        </w:rPr>
      </w:pPr>
    </w:p>
    <w:p w14:paraId="6294D28C">
      <w:pPr>
        <w:spacing w:line="360" w:lineRule="auto"/>
        <w:rPr>
          <w:kern w:val="0"/>
          <w:sz w:val="24"/>
        </w:rPr>
      </w:pPr>
      <w:r>
        <w:rPr>
          <w:kern w:val="0"/>
          <w:sz w:val="24"/>
        </w:rPr>
        <w:br w:type="page"/>
      </w:r>
      <w:r>
        <w:rPr>
          <w:rFonts w:hint="eastAsia"/>
          <w:kern w:val="0"/>
          <w:sz w:val="24"/>
        </w:rPr>
        <w:t>附件1：</w:t>
      </w:r>
      <w:r>
        <w:rPr>
          <w:rFonts w:hint="eastAsia" w:ascii="宋体"/>
          <w:kern w:val="0"/>
          <w:sz w:val="24"/>
        </w:rPr>
        <w:t>试验情况说明</w:t>
      </w:r>
    </w:p>
    <w:p w14:paraId="45D75823">
      <w:pPr>
        <w:pStyle w:val="22"/>
        <w:spacing w:line="360" w:lineRule="auto"/>
        <w:ind w:firstLine="0" w:firstLineChars="0"/>
        <w:rPr>
          <w:b/>
          <w:sz w:val="24"/>
          <w:szCs w:val="24"/>
        </w:rPr>
      </w:pPr>
      <w:r>
        <w:rPr>
          <w:rFonts w:hint="eastAsia"/>
          <w:b/>
          <w:sz w:val="24"/>
          <w:szCs w:val="24"/>
        </w:rPr>
        <w:t>一、主要内容的论据来源</w:t>
      </w:r>
    </w:p>
    <w:p w14:paraId="08D2ACAB">
      <w:pPr>
        <w:spacing w:line="360" w:lineRule="auto"/>
        <w:ind w:firstLine="480" w:firstLineChars="200"/>
        <w:rPr>
          <w:rFonts w:ascii="宋体"/>
          <w:kern w:val="0"/>
          <w:sz w:val="24"/>
        </w:rPr>
      </w:pPr>
      <w:r>
        <w:rPr>
          <w:rFonts w:hint="eastAsia" w:ascii="宋体"/>
          <w:kern w:val="0"/>
          <w:sz w:val="24"/>
        </w:rPr>
        <w:t>本标准涉及的静止式交流电能表耐久性测试与评价，是评价标准。</w:t>
      </w:r>
    </w:p>
    <w:p w14:paraId="3ABE4691">
      <w:pPr>
        <w:spacing w:line="360" w:lineRule="auto"/>
        <w:ind w:firstLine="480" w:firstLineChars="200"/>
        <w:rPr>
          <w:rFonts w:ascii="宋体"/>
          <w:kern w:val="0"/>
          <w:sz w:val="24"/>
        </w:rPr>
      </w:pPr>
      <w:r>
        <w:rPr>
          <w:rFonts w:hint="eastAsia" w:ascii="宋体"/>
          <w:kern w:val="0"/>
          <w:sz w:val="24"/>
        </w:rPr>
        <w:t>本标准主要参考了</w:t>
      </w:r>
      <w:r>
        <w:rPr>
          <w:rFonts w:ascii="宋体"/>
          <w:kern w:val="0"/>
          <w:sz w:val="24"/>
        </w:rPr>
        <w:t>GB/T 17215</w:t>
      </w:r>
      <w:r>
        <w:rPr>
          <w:rFonts w:hint="eastAsia" w:ascii="宋体"/>
          <w:kern w:val="0"/>
          <w:sz w:val="24"/>
        </w:rPr>
        <w:t>《电测量设备(交流)》系列对于交流电能表的定义及相关试验要求，GB/T 2423《环境试验 第2部分：试验方法》系列标准，在此基础上，结合我国湿热、亚湿热地区的气候条件以及在此地区使用的电能表的实际使用及失效状况，规定了相关的技术内容。</w:t>
      </w:r>
    </w:p>
    <w:p w14:paraId="69285009">
      <w:pPr>
        <w:spacing w:line="360" w:lineRule="auto"/>
        <w:ind w:firstLine="480" w:firstLineChars="200"/>
        <w:rPr>
          <w:rFonts w:ascii="宋体"/>
          <w:kern w:val="0"/>
          <w:sz w:val="24"/>
        </w:rPr>
      </w:pPr>
      <w:r>
        <w:rPr>
          <w:rFonts w:hint="eastAsia" w:ascii="宋体"/>
          <w:kern w:val="0"/>
          <w:sz w:val="24"/>
        </w:rPr>
        <w:t>本标准主要参考了国内外以下标准：</w:t>
      </w:r>
    </w:p>
    <w:p w14:paraId="146914C8">
      <w:pPr>
        <w:spacing w:line="360" w:lineRule="auto"/>
        <w:ind w:firstLine="422" w:firstLineChars="200"/>
        <w:jc w:val="center"/>
        <w:rPr>
          <w:rFonts w:ascii="宋体"/>
          <w:b/>
          <w:kern w:val="0"/>
          <w:szCs w:val="21"/>
        </w:rPr>
      </w:pPr>
      <w:r>
        <w:rPr>
          <w:rFonts w:hint="eastAsia" w:ascii="宋体"/>
          <w:b/>
          <w:kern w:val="0"/>
          <w:szCs w:val="21"/>
        </w:rPr>
        <w:t>表1</w:t>
      </w:r>
      <w:r>
        <w:rPr>
          <w:rFonts w:hint="eastAsia" w:ascii="宋体"/>
          <w:b/>
          <w:kern w:val="0"/>
          <w:szCs w:val="21"/>
        </w:rPr>
        <w:tab/>
      </w:r>
      <w:r>
        <w:rPr>
          <w:rFonts w:hint="eastAsia" w:ascii="宋体"/>
          <w:b/>
          <w:kern w:val="0"/>
          <w:szCs w:val="21"/>
        </w:rPr>
        <w:t xml:space="preserve"> 本标准所参考的国内外标准列表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552"/>
        <w:gridCol w:w="5301"/>
      </w:tblGrid>
      <w:tr w14:paraId="1C96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8559E6D">
            <w:pPr>
              <w:spacing w:line="360" w:lineRule="auto"/>
              <w:jc w:val="center"/>
              <w:rPr>
                <w:rFonts w:ascii="宋体"/>
                <w:kern w:val="0"/>
                <w:szCs w:val="21"/>
              </w:rPr>
            </w:pPr>
            <w:r>
              <w:rPr>
                <w:rFonts w:hint="eastAsia" w:ascii="宋体"/>
                <w:kern w:val="0"/>
                <w:szCs w:val="21"/>
              </w:rPr>
              <w:t>序号</w:t>
            </w:r>
          </w:p>
        </w:tc>
        <w:tc>
          <w:tcPr>
            <w:tcW w:w="2552" w:type="dxa"/>
          </w:tcPr>
          <w:p w14:paraId="47FD3408">
            <w:pPr>
              <w:spacing w:line="360" w:lineRule="auto"/>
              <w:jc w:val="center"/>
              <w:rPr>
                <w:rFonts w:ascii="宋体"/>
                <w:kern w:val="0"/>
                <w:szCs w:val="21"/>
              </w:rPr>
            </w:pPr>
            <w:r>
              <w:rPr>
                <w:rFonts w:hint="eastAsia" w:ascii="宋体"/>
                <w:kern w:val="0"/>
                <w:szCs w:val="21"/>
              </w:rPr>
              <w:t>标准编号</w:t>
            </w:r>
          </w:p>
        </w:tc>
        <w:tc>
          <w:tcPr>
            <w:tcW w:w="5301" w:type="dxa"/>
          </w:tcPr>
          <w:p w14:paraId="5A588178">
            <w:pPr>
              <w:spacing w:line="360" w:lineRule="auto"/>
              <w:jc w:val="center"/>
              <w:rPr>
                <w:rFonts w:ascii="宋体"/>
                <w:kern w:val="0"/>
                <w:szCs w:val="21"/>
              </w:rPr>
            </w:pPr>
            <w:r>
              <w:rPr>
                <w:rFonts w:hint="eastAsia" w:ascii="宋体"/>
                <w:kern w:val="0"/>
                <w:szCs w:val="21"/>
              </w:rPr>
              <w:t>标准名称</w:t>
            </w:r>
          </w:p>
        </w:tc>
      </w:tr>
      <w:tr w14:paraId="493A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428A46">
            <w:pPr>
              <w:numPr>
                <w:ilvl w:val="0"/>
                <w:numId w:val="4"/>
              </w:numPr>
              <w:spacing w:line="360" w:lineRule="auto"/>
              <w:rPr>
                <w:rFonts w:ascii="宋体"/>
                <w:kern w:val="0"/>
                <w:szCs w:val="21"/>
              </w:rPr>
            </w:pPr>
          </w:p>
        </w:tc>
        <w:tc>
          <w:tcPr>
            <w:tcW w:w="2552" w:type="dxa"/>
            <w:vAlign w:val="center"/>
          </w:tcPr>
          <w:p w14:paraId="563863F6">
            <w:pPr>
              <w:spacing w:line="360" w:lineRule="auto"/>
              <w:rPr>
                <w:rFonts w:ascii="宋体"/>
                <w:kern w:val="0"/>
                <w:szCs w:val="21"/>
              </w:rPr>
            </w:pPr>
            <w:r>
              <w:rPr>
                <w:rFonts w:hint="eastAsia" w:ascii="宋体" w:hAnsi="宋体" w:cs="宋体"/>
                <w:szCs w:val="21"/>
              </w:rPr>
              <w:t>GB/T 2421-2020</w:t>
            </w:r>
          </w:p>
        </w:tc>
        <w:tc>
          <w:tcPr>
            <w:tcW w:w="5301" w:type="dxa"/>
            <w:vAlign w:val="center"/>
          </w:tcPr>
          <w:p w14:paraId="65096C29">
            <w:r>
              <w:rPr>
                <w:rFonts w:hint="eastAsia"/>
              </w:rPr>
              <w:t>环境试验 概述和指南</w:t>
            </w:r>
          </w:p>
        </w:tc>
      </w:tr>
      <w:tr w14:paraId="6897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82843F6">
            <w:pPr>
              <w:numPr>
                <w:ilvl w:val="0"/>
                <w:numId w:val="4"/>
              </w:numPr>
              <w:spacing w:line="360" w:lineRule="auto"/>
              <w:rPr>
                <w:rFonts w:ascii="宋体"/>
                <w:kern w:val="0"/>
                <w:szCs w:val="21"/>
              </w:rPr>
            </w:pPr>
          </w:p>
        </w:tc>
        <w:tc>
          <w:tcPr>
            <w:tcW w:w="2552" w:type="dxa"/>
            <w:vAlign w:val="center"/>
          </w:tcPr>
          <w:p w14:paraId="314E0F2A">
            <w:pPr>
              <w:spacing w:line="360" w:lineRule="auto"/>
            </w:pPr>
            <w:r>
              <w:rPr>
                <w:rFonts w:hint="eastAsia" w:ascii="宋体" w:hAnsi="宋体" w:cs="宋体"/>
                <w:szCs w:val="21"/>
              </w:rPr>
              <w:t>GB/T 2423.3-2016</w:t>
            </w:r>
          </w:p>
        </w:tc>
        <w:tc>
          <w:tcPr>
            <w:tcW w:w="5301" w:type="dxa"/>
            <w:vAlign w:val="center"/>
          </w:tcPr>
          <w:p w14:paraId="0EB79257">
            <w:r>
              <w:rPr>
                <w:rFonts w:hint="eastAsia"/>
              </w:rPr>
              <w:t>电工电子产品环境试验 第2部分：试验方法 试验Cab 恒定湿热</w:t>
            </w:r>
          </w:p>
        </w:tc>
      </w:tr>
      <w:tr w14:paraId="4F51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C990776">
            <w:pPr>
              <w:numPr>
                <w:ilvl w:val="0"/>
                <w:numId w:val="4"/>
              </w:numPr>
              <w:spacing w:line="360" w:lineRule="auto"/>
              <w:rPr>
                <w:rFonts w:ascii="宋体"/>
                <w:kern w:val="0"/>
                <w:szCs w:val="21"/>
              </w:rPr>
            </w:pPr>
          </w:p>
        </w:tc>
        <w:tc>
          <w:tcPr>
            <w:tcW w:w="2552" w:type="dxa"/>
            <w:vAlign w:val="center"/>
          </w:tcPr>
          <w:p w14:paraId="38452DE6">
            <w:pPr>
              <w:spacing w:line="360" w:lineRule="auto"/>
            </w:pPr>
            <w:r>
              <w:rPr>
                <w:rFonts w:hint="eastAsia" w:ascii="宋体" w:hAnsi="宋体" w:cs="宋体"/>
                <w:szCs w:val="21"/>
              </w:rPr>
              <w:t>GB/T 2423.4-2008</w:t>
            </w:r>
          </w:p>
        </w:tc>
        <w:tc>
          <w:tcPr>
            <w:tcW w:w="5301" w:type="dxa"/>
            <w:vAlign w:val="center"/>
          </w:tcPr>
          <w:p w14:paraId="2E863054">
            <w:r>
              <w:rPr>
                <w:rFonts w:hint="eastAsia"/>
              </w:rPr>
              <w:t>电工电子产品环境试验 第2部分：试验方法 试验Db 交变湿热（12h＋12h循环）</w:t>
            </w:r>
          </w:p>
        </w:tc>
      </w:tr>
      <w:tr w14:paraId="6E78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926FE42">
            <w:pPr>
              <w:numPr>
                <w:ilvl w:val="0"/>
                <w:numId w:val="4"/>
              </w:numPr>
              <w:tabs>
                <w:tab w:val="left" w:pos="360"/>
                <w:tab w:val="clear" w:pos="420"/>
              </w:tabs>
              <w:spacing w:line="360" w:lineRule="auto"/>
              <w:ind w:left="0" w:firstLine="0"/>
              <w:rPr>
                <w:rFonts w:ascii="宋体"/>
                <w:kern w:val="0"/>
                <w:szCs w:val="21"/>
              </w:rPr>
            </w:pPr>
          </w:p>
        </w:tc>
        <w:tc>
          <w:tcPr>
            <w:tcW w:w="2552" w:type="dxa"/>
            <w:vAlign w:val="center"/>
          </w:tcPr>
          <w:p w14:paraId="53EB3606">
            <w:pPr>
              <w:spacing w:line="360" w:lineRule="auto"/>
              <w:rPr>
                <w:rFonts w:ascii="宋体" w:hAnsi="宋体" w:cs="宋体"/>
                <w:szCs w:val="21"/>
              </w:rPr>
            </w:pPr>
            <w:r>
              <w:rPr>
                <w:rFonts w:ascii="宋体" w:hAnsi="宋体" w:cs="宋体"/>
                <w:szCs w:val="21"/>
              </w:rPr>
              <w:t>GB/T 2423.18-2021</w:t>
            </w:r>
          </w:p>
        </w:tc>
        <w:tc>
          <w:tcPr>
            <w:tcW w:w="5301" w:type="dxa"/>
            <w:vAlign w:val="center"/>
          </w:tcPr>
          <w:p w14:paraId="46994AFF">
            <w:r>
              <w:rPr>
                <w:rFonts w:hint="eastAsia"/>
              </w:rPr>
              <w:t>环境试验 第2部分:试验方法 试验Kb:盐雾,交变(氯化钠溶液)</w:t>
            </w:r>
          </w:p>
        </w:tc>
      </w:tr>
      <w:tr w14:paraId="2EA7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27083AF">
            <w:pPr>
              <w:numPr>
                <w:ilvl w:val="0"/>
                <w:numId w:val="4"/>
              </w:numPr>
              <w:tabs>
                <w:tab w:val="left" w:pos="360"/>
                <w:tab w:val="clear" w:pos="420"/>
              </w:tabs>
              <w:spacing w:line="360" w:lineRule="auto"/>
              <w:ind w:left="0" w:firstLine="0"/>
              <w:rPr>
                <w:rFonts w:ascii="宋体"/>
                <w:kern w:val="0"/>
                <w:szCs w:val="21"/>
              </w:rPr>
            </w:pPr>
          </w:p>
        </w:tc>
        <w:tc>
          <w:tcPr>
            <w:tcW w:w="2552" w:type="dxa"/>
            <w:vAlign w:val="center"/>
          </w:tcPr>
          <w:p w14:paraId="5C36725A">
            <w:pPr>
              <w:spacing w:line="360" w:lineRule="auto"/>
              <w:rPr>
                <w:rFonts w:ascii="宋体" w:hAnsi="宋体" w:cs="宋体"/>
                <w:szCs w:val="21"/>
              </w:rPr>
            </w:pPr>
            <w:r>
              <w:rPr>
                <w:rFonts w:hint="eastAsia" w:ascii="宋体" w:hAnsi="宋体" w:cs="宋体"/>
                <w:szCs w:val="21"/>
              </w:rPr>
              <w:t>GB/T 2423.22-2012</w:t>
            </w:r>
            <w:r>
              <w:rPr>
                <w:rFonts w:ascii="宋体" w:hAnsi="宋体" w:cs="宋体"/>
                <w:szCs w:val="21"/>
              </w:rPr>
              <w:t xml:space="preserve"> </w:t>
            </w:r>
          </w:p>
        </w:tc>
        <w:tc>
          <w:tcPr>
            <w:tcW w:w="5301" w:type="dxa"/>
            <w:vAlign w:val="center"/>
          </w:tcPr>
          <w:p w14:paraId="5CE17DF3">
            <w:r>
              <w:rPr>
                <w:rFonts w:hint="eastAsia"/>
              </w:rPr>
              <w:t>环境试验 第2部分:试验方法 试验N:温度变化</w:t>
            </w:r>
          </w:p>
        </w:tc>
      </w:tr>
      <w:tr w14:paraId="7097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019A9C4">
            <w:pPr>
              <w:numPr>
                <w:ilvl w:val="0"/>
                <w:numId w:val="4"/>
              </w:numPr>
              <w:tabs>
                <w:tab w:val="left" w:pos="360"/>
                <w:tab w:val="clear" w:pos="420"/>
              </w:tabs>
              <w:spacing w:line="360" w:lineRule="auto"/>
              <w:ind w:left="0" w:firstLine="0"/>
              <w:rPr>
                <w:rFonts w:ascii="宋体"/>
                <w:kern w:val="0"/>
                <w:szCs w:val="21"/>
              </w:rPr>
            </w:pPr>
          </w:p>
        </w:tc>
        <w:tc>
          <w:tcPr>
            <w:tcW w:w="2552" w:type="dxa"/>
            <w:vAlign w:val="center"/>
          </w:tcPr>
          <w:p w14:paraId="1EB7BBE7">
            <w:pPr>
              <w:spacing w:line="360" w:lineRule="auto"/>
              <w:rPr>
                <w:rFonts w:ascii="宋体" w:hAnsi="宋体" w:cs="宋体"/>
                <w:szCs w:val="21"/>
              </w:rPr>
            </w:pPr>
            <w:r>
              <w:rPr>
                <w:rFonts w:hint="eastAsia" w:ascii="宋体" w:hAnsi="宋体" w:cs="宋体"/>
                <w:szCs w:val="21"/>
              </w:rPr>
              <w:t>GB/T 2423.24-2022</w:t>
            </w:r>
          </w:p>
        </w:tc>
        <w:tc>
          <w:tcPr>
            <w:tcW w:w="5301" w:type="dxa"/>
            <w:vAlign w:val="center"/>
          </w:tcPr>
          <w:p w14:paraId="595E6B7B">
            <w:r>
              <w:rPr>
                <w:rFonts w:hint="eastAsia"/>
              </w:rPr>
              <w:t>环境试验 第2部分：试验方法 试验S：模拟地面上的太阳辐射及太阳辐射试验和气候老化试验导则</w:t>
            </w:r>
          </w:p>
        </w:tc>
      </w:tr>
      <w:tr w14:paraId="6165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4344063">
            <w:pPr>
              <w:numPr>
                <w:ilvl w:val="0"/>
                <w:numId w:val="4"/>
              </w:numPr>
              <w:tabs>
                <w:tab w:val="left" w:pos="360"/>
                <w:tab w:val="clear" w:pos="420"/>
              </w:tabs>
              <w:spacing w:line="360" w:lineRule="auto"/>
              <w:ind w:left="0" w:firstLine="0"/>
              <w:rPr>
                <w:rFonts w:ascii="宋体"/>
                <w:kern w:val="0"/>
                <w:szCs w:val="21"/>
              </w:rPr>
            </w:pPr>
          </w:p>
        </w:tc>
        <w:tc>
          <w:tcPr>
            <w:tcW w:w="2552" w:type="dxa"/>
            <w:vAlign w:val="center"/>
          </w:tcPr>
          <w:p w14:paraId="1CC3BF3A">
            <w:pPr>
              <w:spacing w:line="360" w:lineRule="auto"/>
              <w:rPr>
                <w:rFonts w:ascii="宋体" w:hAnsi="宋体" w:cs="宋体"/>
                <w:szCs w:val="21"/>
              </w:rPr>
            </w:pPr>
            <w:r>
              <w:rPr>
                <w:rFonts w:hint="eastAsia" w:ascii="宋体" w:hAnsi="宋体" w:cs="宋体"/>
                <w:szCs w:val="21"/>
              </w:rPr>
              <w:t>GB/T 2828.1-2012</w:t>
            </w:r>
          </w:p>
        </w:tc>
        <w:tc>
          <w:tcPr>
            <w:tcW w:w="5301" w:type="dxa"/>
            <w:vAlign w:val="center"/>
          </w:tcPr>
          <w:p w14:paraId="6DEC49E3">
            <w:r>
              <w:rPr>
                <w:rFonts w:hint="eastAsia"/>
              </w:rPr>
              <w:t>计数抽样检验程序第1部分 :按接收质量限(AQL)检索的逐批检验抽样计划</w:t>
            </w:r>
          </w:p>
        </w:tc>
      </w:tr>
      <w:tr w14:paraId="3F93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1CFD3C0">
            <w:pPr>
              <w:numPr>
                <w:ilvl w:val="0"/>
                <w:numId w:val="4"/>
              </w:numPr>
              <w:spacing w:line="360" w:lineRule="auto"/>
              <w:rPr>
                <w:rFonts w:ascii="宋体"/>
                <w:kern w:val="0"/>
                <w:szCs w:val="21"/>
              </w:rPr>
            </w:pPr>
          </w:p>
        </w:tc>
        <w:tc>
          <w:tcPr>
            <w:tcW w:w="2552" w:type="dxa"/>
            <w:vAlign w:val="center"/>
          </w:tcPr>
          <w:p w14:paraId="7097F6DA">
            <w:pPr>
              <w:spacing w:line="360" w:lineRule="auto"/>
              <w:rPr>
                <w:rFonts w:ascii="宋体" w:hAnsi="宋体" w:cs="宋体"/>
                <w:szCs w:val="21"/>
              </w:rPr>
            </w:pPr>
            <w:r>
              <w:rPr>
                <w:rFonts w:hint="eastAsia" w:ascii="宋体" w:hAnsi="宋体" w:cs="宋体"/>
                <w:szCs w:val="21"/>
              </w:rPr>
              <w:t>GB/T 4797.1-2018</w:t>
            </w:r>
          </w:p>
        </w:tc>
        <w:tc>
          <w:tcPr>
            <w:tcW w:w="5301" w:type="dxa"/>
            <w:vAlign w:val="center"/>
          </w:tcPr>
          <w:p w14:paraId="258ED5B4">
            <w:r>
              <w:rPr>
                <w:rFonts w:hint="eastAsia"/>
              </w:rPr>
              <w:t>环境条件分类 自然环境条件 温度和湿度</w:t>
            </w:r>
          </w:p>
        </w:tc>
      </w:tr>
      <w:tr w14:paraId="6B7C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243F280">
            <w:pPr>
              <w:numPr>
                <w:ilvl w:val="0"/>
                <w:numId w:val="4"/>
              </w:numPr>
              <w:spacing w:line="360" w:lineRule="auto"/>
              <w:rPr>
                <w:rFonts w:ascii="宋体"/>
                <w:kern w:val="0"/>
                <w:szCs w:val="21"/>
              </w:rPr>
            </w:pPr>
          </w:p>
        </w:tc>
        <w:tc>
          <w:tcPr>
            <w:tcW w:w="2552" w:type="dxa"/>
            <w:vAlign w:val="center"/>
          </w:tcPr>
          <w:p w14:paraId="228E25BC">
            <w:pPr>
              <w:spacing w:line="360" w:lineRule="auto"/>
              <w:rPr>
                <w:rFonts w:ascii="宋体" w:hAnsi="宋体" w:cs="宋体"/>
                <w:szCs w:val="21"/>
              </w:rPr>
            </w:pPr>
            <w:r>
              <w:rPr>
                <w:rFonts w:hint="eastAsia" w:ascii="宋体" w:hAnsi="宋体" w:cs="宋体"/>
                <w:szCs w:val="21"/>
              </w:rPr>
              <w:t>GB/T 4797.6-2013</w:t>
            </w:r>
          </w:p>
        </w:tc>
        <w:tc>
          <w:tcPr>
            <w:tcW w:w="5301" w:type="dxa"/>
            <w:vAlign w:val="center"/>
          </w:tcPr>
          <w:p w14:paraId="1C094001">
            <w:r>
              <w:rPr>
                <w:rFonts w:hint="eastAsia"/>
              </w:rPr>
              <w:t>环境条件分类 自然环境条件 尘、沙、盐雾</w:t>
            </w:r>
          </w:p>
        </w:tc>
      </w:tr>
      <w:tr w14:paraId="5758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518D390">
            <w:pPr>
              <w:numPr>
                <w:ilvl w:val="0"/>
                <w:numId w:val="4"/>
              </w:numPr>
              <w:spacing w:line="360" w:lineRule="auto"/>
              <w:rPr>
                <w:rFonts w:ascii="宋体"/>
                <w:kern w:val="0"/>
                <w:szCs w:val="21"/>
              </w:rPr>
            </w:pPr>
          </w:p>
        </w:tc>
        <w:tc>
          <w:tcPr>
            <w:tcW w:w="2552" w:type="dxa"/>
            <w:vAlign w:val="center"/>
          </w:tcPr>
          <w:p w14:paraId="225AB2B2">
            <w:pPr>
              <w:spacing w:line="360" w:lineRule="auto"/>
              <w:rPr>
                <w:rFonts w:ascii="宋体" w:hAnsi="宋体" w:cs="宋体"/>
                <w:szCs w:val="21"/>
              </w:rPr>
            </w:pPr>
            <w:r>
              <w:rPr>
                <w:rFonts w:hint="eastAsia" w:ascii="宋体" w:hAnsi="宋体" w:cs="宋体"/>
                <w:szCs w:val="21"/>
              </w:rPr>
              <w:t>GB/T 5080.7-1986</w:t>
            </w:r>
          </w:p>
        </w:tc>
        <w:tc>
          <w:tcPr>
            <w:tcW w:w="5301" w:type="dxa"/>
            <w:vAlign w:val="center"/>
          </w:tcPr>
          <w:p w14:paraId="044D5CF6">
            <w:pPr>
              <w:rPr>
                <w:rFonts w:ascii="宋体" w:hAnsi="宋体" w:cs="宋体"/>
                <w:szCs w:val="21"/>
              </w:rPr>
            </w:pPr>
            <w:r>
              <w:rPr>
                <w:rFonts w:hint="eastAsia" w:ascii="宋体" w:hAnsi="宋体" w:cs="宋体"/>
                <w:szCs w:val="21"/>
              </w:rPr>
              <w:t>设备可靠性试验 恒定失效率假设下的失效率与平均无故障时间的验证试验方案</w:t>
            </w:r>
          </w:p>
        </w:tc>
      </w:tr>
      <w:tr w14:paraId="508B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63F5725">
            <w:pPr>
              <w:numPr>
                <w:ilvl w:val="0"/>
                <w:numId w:val="4"/>
              </w:numPr>
              <w:spacing w:line="360" w:lineRule="auto"/>
              <w:rPr>
                <w:rFonts w:ascii="宋体"/>
                <w:kern w:val="0"/>
                <w:szCs w:val="21"/>
              </w:rPr>
            </w:pPr>
          </w:p>
        </w:tc>
        <w:tc>
          <w:tcPr>
            <w:tcW w:w="2552" w:type="dxa"/>
            <w:vAlign w:val="center"/>
          </w:tcPr>
          <w:p w14:paraId="27866ED2">
            <w:pPr>
              <w:spacing w:line="360" w:lineRule="auto"/>
              <w:rPr>
                <w:rFonts w:ascii="宋体" w:hAnsi="宋体" w:cs="宋体"/>
                <w:szCs w:val="21"/>
              </w:rPr>
            </w:pPr>
            <w:r>
              <w:rPr>
                <w:rFonts w:ascii="宋体" w:hAnsi="宋体" w:cs="宋体"/>
                <w:szCs w:val="21"/>
              </w:rPr>
              <w:t>GB/T 17215.211-2021</w:t>
            </w:r>
          </w:p>
        </w:tc>
        <w:tc>
          <w:tcPr>
            <w:tcW w:w="5301" w:type="dxa"/>
            <w:vAlign w:val="center"/>
          </w:tcPr>
          <w:p w14:paraId="6D0E9FA0">
            <w:r>
              <w:rPr>
                <w:rFonts w:hint="eastAsia"/>
              </w:rPr>
              <w:t>电测量设备（交流） 通用要求、试验和试验条件 第11部分：测量设备</w:t>
            </w:r>
          </w:p>
        </w:tc>
      </w:tr>
      <w:tr w14:paraId="6755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6BE1115">
            <w:pPr>
              <w:numPr>
                <w:ilvl w:val="0"/>
                <w:numId w:val="4"/>
              </w:numPr>
              <w:spacing w:line="360" w:lineRule="auto"/>
              <w:rPr>
                <w:rFonts w:ascii="宋体"/>
                <w:kern w:val="0"/>
                <w:szCs w:val="21"/>
              </w:rPr>
            </w:pPr>
          </w:p>
        </w:tc>
        <w:tc>
          <w:tcPr>
            <w:tcW w:w="2552" w:type="dxa"/>
            <w:vAlign w:val="center"/>
          </w:tcPr>
          <w:p w14:paraId="7D0D82FB">
            <w:pPr>
              <w:spacing w:line="360" w:lineRule="auto"/>
              <w:rPr>
                <w:rFonts w:ascii="宋体" w:hAnsi="宋体" w:cs="宋体"/>
                <w:szCs w:val="21"/>
              </w:rPr>
            </w:pPr>
            <w:r>
              <w:rPr>
                <w:rFonts w:ascii="宋体" w:hAnsi="宋体" w:cs="宋体"/>
                <w:szCs w:val="21"/>
              </w:rPr>
              <w:t>GB</w:t>
            </w:r>
            <w:r>
              <w:rPr>
                <w:rFonts w:hint="eastAsia" w:ascii="宋体" w:hAnsi="宋体" w:cs="宋体"/>
                <w:szCs w:val="21"/>
              </w:rPr>
              <w:t>/</w:t>
            </w:r>
            <w:r>
              <w:rPr>
                <w:rFonts w:ascii="宋体" w:hAnsi="宋体" w:cs="宋体"/>
                <w:szCs w:val="21"/>
              </w:rPr>
              <w:t>T 17215.304-2017</w:t>
            </w:r>
          </w:p>
        </w:tc>
        <w:tc>
          <w:tcPr>
            <w:tcW w:w="5301" w:type="dxa"/>
            <w:vAlign w:val="center"/>
          </w:tcPr>
          <w:p w14:paraId="5E239629">
            <w:r>
              <w:rPr>
                <w:rFonts w:hint="eastAsia"/>
              </w:rPr>
              <w:t>交流电测量设备特殊要求第4部分：经电子互感器接入的静止式电能表</w:t>
            </w:r>
          </w:p>
        </w:tc>
      </w:tr>
      <w:tr w14:paraId="1D69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70CAFDC">
            <w:pPr>
              <w:numPr>
                <w:ilvl w:val="0"/>
                <w:numId w:val="4"/>
              </w:numPr>
              <w:spacing w:line="360" w:lineRule="auto"/>
              <w:rPr>
                <w:rFonts w:ascii="宋体"/>
                <w:kern w:val="0"/>
                <w:szCs w:val="21"/>
              </w:rPr>
            </w:pPr>
          </w:p>
        </w:tc>
        <w:tc>
          <w:tcPr>
            <w:tcW w:w="2552" w:type="dxa"/>
            <w:vAlign w:val="center"/>
          </w:tcPr>
          <w:p w14:paraId="585026EB">
            <w:pPr>
              <w:spacing w:line="360" w:lineRule="auto"/>
              <w:rPr>
                <w:rFonts w:ascii="宋体" w:hAnsi="宋体" w:cs="宋体"/>
                <w:szCs w:val="21"/>
              </w:rPr>
            </w:pPr>
            <w:r>
              <w:rPr>
                <w:rFonts w:ascii="宋体" w:hAnsi="宋体" w:cs="宋体"/>
                <w:szCs w:val="21"/>
              </w:rPr>
              <w:t>GB</w:t>
            </w:r>
            <w:r>
              <w:rPr>
                <w:rFonts w:hint="eastAsia" w:ascii="宋体" w:hAnsi="宋体" w:cs="宋体"/>
                <w:szCs w:val="21"/>
              </w:rPr>
              <w:t>/</w:t>
            </w:r>
            <w:r>
              <w:rPr>
                <w:rFonts w:ascii="宋体" w:hAnsi="宋体" w:cs="宋体"/>
                <w:szCs w:val="21"/>
              </w:rPr>
              <w:t>T 17215.9311-2017</w:t>
            </w:r>
          </w:p>
        </w:tc>
        <w:tc>
          <w:tcPr>
            <w:tcW w:w="5301" w:type="dxa"/>
            <w:vAlign w:val="center"/>
          </w:tcPr>
          <w:p w14:paraId="77F65809">
            <w:r>
              <w:t>电测量设备可信性第311部分:温度和湿度加速可靠性试验</w:t>
            </w:r>
          </w:p>
        </w:tc>
      </w:tr>
      <w:tr w14:paraId="3737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DF9B2CC">
            <w:pPr>
              <w:numPr>
                <w:ilvl w:val="0"/>
                <w:numId w:val="4"/>
              </w:numPr>
              <w:spacing w:line="360" w:lineRule="auto"/>
              <w:rPr>
                <w:rFonts w:ascii="宋体"/>
                <w:kern w:val="0"/>
                <w:szCs w:val="21"/>
              </w:rPr>
            </w:pPr>
          </w:p>
        </w:tc>
        <w:tc>
          <w:tcPr>
            <w:tcW w:w="2552" w:type="dxa"/>
            <w:vAlign w:val="center"/>
          </w:tcPr>
          <w:p w14:paraId="6FF41428">
            <w:pPr>
              <w:spacing w:line="360" w:lineRule="auto"/>
              <w:rPr>
                <w:rFonts w:ascii="宋体" w:hAnsi="宋体" w:cs="宋体"/>
                <w:szCs w:val="21"/>
              </w:rPr>
            </w:pPr>
            <w:r>
              <w:rPr>
                <w:rFonts w:ascii="宋体" w:hAnsi="宋体" w:cs="宋体"/>
                <w:szCs w:val="21"/>
              </w:rPr>
              <w:t xml:space="preserve">GB/T </w:t>
            </w:r>
            <w:r>
              <w:rPr>
                <w:rFonts w:hint="eastAsia" w:ascii="宋体" w:hAnsi="宋体" w:cs="宋体"/>
                <w:szCs w:val="21"/>
              </w:rPr>
              <w:t>1</w:t>
            </w:r>
            <w:r>
              <w:rPr>
                <w:rFonts w:ascii="宋体" w:hAnsi="宋体" w:cs="宋体"/>
                <w:szCs w:val="21"/>
              </w:rPr>
              <w:t>7215.9321-2016</w:t>
            </w:r>
          </w:p>
        </w:tc>
        <w:tc>
          <w:tcPr>
            <w:tcW w:w="5301" w:type="dxa"/>
            <w:vAlign w:val="center"/>
          </w:tcPr>
          <w:p w14:paraId="4A9A7404">
            <w:pPr>
              <w:rPr>
                <w:rFonts w:ascii="宋体" w:hAnsi="宋体" w:cs="宋体"/>
                <w:szCs w:val="21"/>
              </w:rPr>
            </w:pPr>
            <w:r>
              <w:rPr>
                <w:rFonts w:hint="eastAsia" w:ascii="宋体" w:hAnsi="宋体" w:cs="宋体"/>
                <w:szCs w:val="21"/>
              </w:rPr>
              <w:t>电测量设备可信性第321部分:耐久性-高温下的计量特性稳定性试验</w:t>
            </w:r>
          </w:p>
        </w:tc>
      </w:tr>
      <w:tr w14:paraId="0B55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37DF116">
            <w:pPr>
              <w:numPr>
                <w:ilvl w:val="0"/>
                <w:numId w:val="4"/>
              </w:numPr>
              <w:spacing w:line="360" w:lineRule="auto"/>
              <w:rPr>
                <w:rFonts w:ascii="宋体"/>
                <w:kern w:val="0"/>
                <w:szCs w:val="21"/>
              </w:rPr>
            </w:pPr>
          </w:p>
        </w:tc>
        <w:tc>
          <w:tcPr>
            <w:tcW w:w="2552" w:type="dxa"/>
            <w:vAlign w:val="center"/>
          </w:tcPr>
          <w:p w14:paraId="7D5C6B05">
            <w:pPr>
              <w:spacing w:line="360" w:lineRule="auto"/>
              <w:rPr>
                <w:rFonts w:ascii="宋体" w:hAnsi="宋体" w:cs="宋体"/>
                <w:szCs w:val="21"/>
              </w:rPr>
            </w:pPr>
            <w:r>
              <w:rPr>
                <w:rFonts w:hint="eastAsia" w:ascii="宋体" w:hAnsi="宋体" w:cs="宋体"/>
                <w:szCs w:val="21"/>
              </w:rPr>
              <w:t>GB/T 20159.3-2011</w:t>
            </w:r>
          </w:p>
        </w:tc>
        <w:tc>
          <w:tcPr>
            <w:tcW w:w="5301" w:type="dxa"/>
            <w:vAlign w:val="center"/>
          </w:tcPr>
          <w:p w14:paraId="298BA53A">
            <w:r>
              <w:rPr>
                <w:rFonts w:hint="eastAsia"/>
              </w:rPr>
              <w:t>环境条件分类 环境条件分类与环境试验之间的关系及转换指南 有气候防护场所固定使用</w:t>
            </w:r>
          </w:p>
        </w:tc>
      </w:tr>
      <w:tr w14:paraId="6D2A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5A9610B">
            <w:pPr>
              <w:numPr>
                <w:ilvl w:val="0"/>
                <w:numId w:val="4"/>
              </w:numPr>
              <w:spacing w:line="360" w:lineRule="auto"/>
              <w:rPr>
                <w:rFonts w:ascii="宋体"/>
                <w:kern w:val="0"/>
                <w:szCs w:val="21"/>
              </w:rPr>
            </w:pPr>
          </w:p>
        </w:tc>
        <w:tc>
          <w:tcPr>
            <w:tcW w:w="2552" w:type="dxa"/>
            <w:vAlign w:val="center"/>
          </w:tcPr>
          <w:p w14:paraId="248D9EE1">
            <w:pPr>
              <w:spacing w:line="360" w:lineRule="auto"/>
              <w:rPr>
                <w:rFonts w:ascii="宋体" w:hAnsi="宋体" w:cs="宋体"/>
                <w:szCs w:val="21"/>
              </w:rPr>
            </w:pPr>
            <w:r>
              <w:rPr>
                <w:rFonts w:hint="eastAsia" w:ascii="宋体" w:hAnsi="宋体" w:cs="宋体"/>
                <w:szCs w:val="21"/>
              </w:rPr>
              <w:t>GB/T 43918-2024</w:t>
            </w:r>
          </w:p>
        </w:tc>
        <w:tc>
          <w:tcPr>
            <w:tcW w:w="5301" w:type="dxa"/>
            <w:vAlign w:val="center"/>
          </w:tcPr>
          <w:p w14:paraId="02225A01">
            <w:r>
              <w:rPr>
                <w:rFonts w:hint="eastAsia"/>
              </w:rPr>
              <w:t>交流标准电能表</w:t>
            </w:r>
          </w:p>
        </w:tc>
      </w:tr>
      <w:tr w14:paraId="5283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7303824">
            <w:pPr>
              <w:numPr>
                <w:ilvl w:val="0"/>
                <w:numId w:val="4"/>
              </w:numPr>
              <w:spacing w:line="360" w:lineRule="auto"/>
              <w:rPr>
                <w:rFonts w:ascii="宋体"/>
                <w:kern w:val="0"/>
                <w:szCs w:val="21"/>
              </w:rPr>
            </w:pPr>
          </w:p>
        </w:tc>
        <w:tc>
          <w:tcPr>
            <w:tcW w:w="2552" w:type="dxa"/>
            <w:vAlign w:val="center"/>
          </w:tcPr>
          <w:p w14:paraId="694E7A84">
            <w:pPr>
              <w:spacing w:line="360" w:lineRule="auto"/>
              <w:rPr>
                <w:rFonts w:ascii="宋体" w:hAnsi="宋体" w:cs="宋体"/>
                <w:szCs w:val="21"/>
              </w:rPr>
            </w:pPr>
            <w:r>
              <w:rPr>
                <w:rFonts w:hint="eastAsia" w:ascii="宋体" w:hAnsi="宋体" w:cs="宋体"/>
                <w:szCs w:val="21"/>
              </w:rPr>
              <w:t>GJB 899A-2009</w:t>
            </w:r>
          </w:p>
        </w:tc>
        <w:tc>
          <w:tcPr>
            <w:tcW w:w="5301" w:type="dxa"/>
            <w:vAlign w:val="center"/>
          </w:tcPr>
          <w:p w14:paraId="24ABEB73">
            <w:r>
              <w:rPr>
                <w:rFonts w:hint="eastAsia" w:ascii="宋体" w:hAnsi="宋体" w:cs="宋体"/>
                <w:szCs w:val="21"/>
              </w:rPr>
              <w:t>可靠性鉴定和验收试验</w:t>
            </w:r>
          </w:p>
        </w:tc>
      </w:tr>
      <w:tr w14:paraId="015C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85C2382">
            <w:pPr>
              <w:numPr>
                <w:ilvl w:val="0"/>
                <w:numId w:val="4"/>
              </w:numPr>
              <w:spacing w:line="360" w:lineRule="auto"/>
              <w:rPr>
                <w:rFonts w:ascii="宋体"/>
                <w:kern w:val="0"/>
                <w:szCs w:val="21"/>
              </w:rPr>
            </w:pPr>
          </w:p>
        </w:tc>
        <w:tc>
          <w:tcPr>
            <w:tcW w:w="2552" w:type="dxa"/>
            <w:vAlign w:val="center"/>
          </w:tcPr>
          <w:p w14:paraId="061BB2C8">
            <w:pPr>
              <w:spacing w:line="360" w:lineRule="auto"/>
              <w:rPr>
                <w:rFonts w:ascii="宋体" w:hAnsi="宋体" w:cs="宋体"/>
                <w:szCs w:val="21"/>
              </w:rPr>
            </w:pPr>
            <w:r>
              <w:rPr>
                <w:rFonts w:hint="eastAsia" w:ascii="宋体" w:hAnsi="宋体" w:cs="宋体"/>
                <w:szCs w:val="21"/>
              </w:rPr>
              <w:t>DL/T 1664-2016</w:t>
            </w:r>
          </w:p>
        </w:tc>
        <w:tc>
          <w:tcPr>
            <w:tcW w:w="5301" w:type="dxa"/>
            <w:vAlign w:val="center"/>
          </w:tcPr>
          <w:p w14:paraId="02B36B47">
            <w:r>
              <w:rPr>
                <w:rFonts w:hint="eastAsia"/>
              </w:rPr>
              <w:t>电能计量装置现场检验规程</w:t>
            </w:r>
          </w:p>
        </w:tc>
      </w:tr>
      <w:tr w14:paraId="63C5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87940CB">
            <w:pPr>
              <w:numPr>
                <w:ilvl w:val="0"/>
                <w:numId w:val="4"/>
              </w:numPr>
              <w:spacing w:line="360" w:lineRule="auto"/>
              <w:rPr>
                <w:rFonts w:ascii="宋体"/>
                <w:kern w:val="0"/>
                <w:szCs w:val="21"/>
              </w:rPr>
            </w:pPr>
          </w:p>
        </w:tc>
        <w:tc>
          <w:tcPr>
            <w:tcW w:w="2552" w:type="dxa"/>
            <w:vAlign w:val="center"/>
          </w:tcPr>
          <w:p w14:paraId="6CEEDE12">
            <w:pPr>
              <w:rPr>
                <w:rFonts w:ascii="宋体" w:hAnsi="宋体" w:cs="宋体"/>
                <w:szCs w:val="21"/>
              </w:rPr>
            </w:pPr>
            <w:r>
              <w:rPr>
                <w:rFonts w:hint="eastAsia" w:ascii="宋体" w:hAnsi="宋体" w:cs="宋体"/>
                <w:szCs w:val="21"/>
              </w:rPr>
              <w:t>IEC 62052-11：2020</w:t>
            </w:r>
          </w:p>
        </w:tc>
        <w:tc>
          <w:tcPr>
            <w:tcW w:w="5301" w:type="dxa"/>
            <w:vAlign w:val="center"/>
          </w:tcPr>
          <w:p w14:paraId="2B98C314">
            <w:pPr>
              <w:rPr>
                <w:rFonts w:ascii="宋体" w:hAnsi="宋体" w:cs="宋体"/>
                <w:szCs w:val="21"/>
              </w:rPr>
            </w:pPr>
            <w:r>
              <w:rPr>
                <w:rFonts w:hint="eastAsia" w:ascii="宋体" w:hAnsi="宋体" w:cs="宋体"/>
                <w:szCs w:val="21"/>
              </w:rPr>
              <w:t>电力计量设备 一般要求、试验和试验条件 第11部分：计量设备</w:t>
            </w:r>
          </w:p>
        </w:tc>
      </w:tr>
    </w:tbl>
    <w:p w14:paraId="2F79535A">
      <w:pPr>
        <w:pStyle w:val="22"/>
        <w:spacing w:before="100" w:beforeAutospacing="1" w:line="360" w:lineRule="auto"/>
        <w:ind w:firstLine="0" w:firstLineChars="0"/>
        <w:rPr>
          <w:b/>
          <w:sz w:val="24"/>
          <w:szCs w:val="24"/>
        </w:rPr>
      </w:pPr>
      <w:r>
        <w:rPr>
          <w:rFonts w:hint="eastAsia"/>
          <w:b/>
          <w:sz w:val="24"/>
          <w:szCs w:val="24"/>
        </w:rPr>
        <w:t>二、主要技术内容的数据及技术来源</w:t>
      </w:r>
    </w:p>
    <w:p w14:paraId="756C8937">
      <w:pPr>
        <w:spacing w:line="360" w:lineRule="auto"/>
        <w:rPr>
          <w:rFonts w:ascii="宋体"/>
          <w:b/>
          <w:kern w:val="0"/>
          <w:sz w:val="24"/>
        </w:rPr>
      </w:pPr>
      <w:r>
        <w:rPr>
          <w:rFonts w:ascii="宋体"/>
          <w:b/>
          <w:kern w:val="0"/>
          <w:sz w:val="24"/>
        </w:rPr>
        <w:t xml:space="preserve">1. </w:t>
      </w:r>
      <w:r>
        <w:rPr>
          <w:rFonts w:hint="eastAsia" w:ascii="宋体"/>
          <w:b/>
          <w:kern w:val="0"/>
          <w:sz w:val="24"/>
        </w:rPr>
        <w:t>环境分类</w:t>
      </w:r>
    </w:p>
    <w:p w14:paraId="6F731A89">
      <w:pPr>
        <w:spacing w:line="360" w:lineRule="auto"/>
        <w:ind w:firstLine="480" w:firstLineChars="200"/>
        <w:rPr>
          <w:rFonts w:ascii="宋体"/>
          <w:kern w:val="0"/>
          <w:sz w:val="24"/>
        </w:rPr>
      </w:pPr>
      <w:r>
        <w:rPr>
          <w:rFonts w:hint="eastAsia" w:ascii="宋体"/>
          <w:kern w:val="0"/>
          <w:sz w:val="24"/>
        </w:rPr>
        <w:t>环境的分类涉及了影响智能电表寿命及性能的环境因素，主要如下表。</w:t>
      </w:r>
    </w:p>
    <w:p w14:paraId="00BD1827">
      <w:pPr>
        <w:spacing w:line="360" w:lineRule="auto"/>
        <w:ind w:firstLine="422" w:firstLineChars="200"/>
        <w:jc w:val="center"/>
        <w:rPr>
          <w:rFonts w:ascii="宋体"/>
          <w:b/>
          <w:kern w:val="0"/>
          <w:szCs w:val="21"/>
        </w:rPr>
      </w:pPr>
      <w:r>
        <w:rPr>
          <w:rFonts w:hint="eastAsia" w:ascii="宋体"/>
          <w:b/>
          <w:kern w:val="0"/>
          <w:szCs w:val="21"/>
        </w:rPr>
        <w:t>表2湿热环境电能表失效机理与故障现象</w:t>
      </w:r>
    </w:p>
    <w:tbl>
      <w:tblPr>
        <w:tblStyle w:val="9"/>
        <w:tblW w:w="8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478"/>
        <w:gridCol w:w="2921"/>
        <w:gridCol w:w="2746"/>
      </w:tblGrid>
      <w:tr w14:paraId="2FE8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59" w:type="dxa"/>
            <w:vAlign w:val="center"/>
          </w:tcPr>
          <w:p w14:paraId="30724810">
            <w:pPr>
              <w:widowControl/>
              <w:jc w:val="center"/>
              <w:rPr>
                <w:rFonts w:ascii="宋体" w:hAnsi="宋体" w:cs="Arial"/>
                <w:b/>
                <w:bCs/>
                <w:sz w:val="18"/>
                <w:szCs w:val="18"/>
              </w:rPr>
            </w:pPr>
            <w:r>
              <w:rPr>
                <w:rFonts w:hint="eastAsia" w:ascii="宋体" w:hAnsi="宋体" w:cs="Arial"/>
                <w:b/>
                <w:bCs/>
                <w:sz w:val="18"/>
                <w:szCs w:val="18"/>
              </w:rPr>
              <w:t>序号</w:t>
            </w:r>
          </w:p>
        </w:tc>
        <w:tc>
          <w:tcPr>
            <w:tcW w:w="1478" w:type="dxa"/>
            <w:vAlign w:val="center"/>
          </w:tcPr>
          <w:p w14:paraId="354CBF0E">
            <w:pPr>
              <w:widowControl/>
              <w:jc w:val="center"/>
              <w:rPr>
                <w:rFonts w:ascii="宋体" w:hAnsi="宋体" w:cs="Arial"/>
                <w:kern w:val="0"/>
                <w:sz w:val="18"/>
                <w:szCs w:val="18"/>
              </w:rPr>
            </w:pPr>
            <w:r>
              <w:rPr>
                <w:rFonts w:hint="eastAsia" w:ascii="宋体" w:hAnsi="宋体" w:cs="Arial"/>
                <w:b/>
                <w:bCs/>
                <w:sz w:val="18"/>
                <w:szCs w:val="18"/>
              </w:rPr>
              <w:t>典型环境因素</w:t>
            </w:r>
          </w:p>
        </w:tc>
        <w:tc>
          <w:tcPr>
            <w:tcW w:w="2921" w:type="dxa"/>
            <w:vAlign w:val="center"/>
          </w:tcPr>
          <w:p w14:paraId="2A6C9C05">
            <w:pPr>
              <w:widowControl/>
              <w:ind w:right="-103" w:rightChars="-49"/>
              <w:jc w:val="center"/>
              <w:rPr>
                <w:rFonts w:ascii="宋体" w:hAnsi="宋体" w:cs="Arial"/>
                <w:kern w:val="0"/>
                <w:sz w:val="18"/>
                <w:szCs w:val="18"/>
              </w:rPr>
            </w:pPr>
            <w:r>
              <w:rPr>
                <w:rFonts w:hint="eastAsia" w:ascii="宋体" w:hAnsi="宋体" w:cs="Arial"/>
                <w:b/>
                <w:bCs/>
                <w:sz w:val="18"/>
                <w:szCs w:val="18"/>
              </w:rPr>
              <w:t>失效机理</w:t>
            </w:r>
          </w:p>
        </w:tc>
        <w:tc>
          <w:tcPr>
            <w:tcW w:w="2746" w:type="dxa"/>
            <w:vAlign w:val="center"/>
          </w:tcPr>
          <w:p w14:paraId="0F599537">
            <w:pPr>
              <w:widowControl/>
              <w:jc w:val="center"/>
              <w:rPr>
                <w:rFonts w:ascii="宋体" w:hAnsi="宋体" w:cs="Arial"/>
                <w:kern w:val="0"/>
                <w:sz w:val="18"/>
                <w:szCs w:val="18"/>
              </w:rPr>
            </w:pPr>
            <w:r>
              <w:rPr>
                <w:rFonts w:hint="eastAsia" w:ascii="宋体" w:hAnsi="宋体" w:cs="Arial"/>
                <w:b/>
                <w:bCs/>
                <w:sz w:val="18"/>
                <w:szCs w:val="18"/>
              </w:rPr>
              <w:t>故障现象</w:t>
            </w:r>
          </w:p>
        </w:tc>
      </w:tr>
      <w:tr w14:paraId="4FC0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959" w:type="dxa"/>
            <w:vAlign w:val="center"/>
          </w:tcPr>
          <w:p w14:paraId="30DAD42D">
            <w:pPr>
              <w:widowControl/>
              <w:numPr>
                <w:ilvl w:val="0"/>
                <w:numId w:val="5"/>
              </w:numPr>
              <w:jc w:val="center"/>
              <w:rPr>
                <w:rFonts w:ascii="宋体" w:hAnsi="宋体" w:cs="Arial"/>
                <w:b/>
                <w:bCs/>
                <w:sz w:val="18"/>
                <w:szCs w:val="18"/>
              </w:rPr>
            </w:pPr>
          </w:p>
        </w:tc>
        <w:tc>
          <w:tcPr>
            <w:tcW w:w="1478" w:type="dxa"/>
            <w:vAlign w:val="center"/>
          </w:tcPr>
          <w:p w14:paraId="7ECCC647">
            <w:pPr>
              <w:widowControl/>
              <w:jc w:val="center"/>
              <w:rPr>
                <w:rFonts w:ascii="宋体" w:hAnsi="宋体" w:cs="Arial"/>
                <w:kern w:val="0"/>
                <w:sz w:val="18"/>
                <w:szCs w:val="18"/>
              </w:rPr>
            </w:pPr>
            <w:r>
              <w:rPr>
                <w:rFonts w:hint="eastAsia" w:ascii="宋体" w:hAnsi="宋体" w:cs="Arial"/>
                <w:bCs/>
                <w:sz w:val="18"/>
                <w:szCs w:val="18"/>
              </w:rPr>
              <w:t>温度</w:t>
            </w:r>
          </w:p>
        </w:tc>
        <w:tc>
          <w:tcPr>
            <w:tcW w:w="2921" w:type="dxa"/>
            <w:vAlign w:val="center"/>
          </w:tcPr>
          <w:p w14:paraId="10CD7B18">
            <w:pPr>
              <w:widowControl/>
              <w:ind w:firstLine="32" w:firstLineChars="18"/>
              <w:jc w:val="left"/>
              <w:rPr>
                <w:rFonts w:ascii="宋体" w:hAnsi="宋体" w:cs="Arial"/>
                <w:kern w:val="0"/>
                <w:sz w:val="18"/>
                <w:szCs w:val="18"/>
              </w:rPr>
            </w:pPr>
            <w:r>
              <w:rPr>
                <w:rFonts w:hint="eastAsia" w:ascii="宋体" w:hAnsi="宋体" w:cs="Arial"/>
                <w:sz w:val="18"/>
                <w:szCs w:val="18"/>
              </w:rPr>
              <w:t>导致结构破坏、电子元器件焊点融化、结构失效性能退化、电特性变化。</w:t>
            </w:r>
          </w:p>
        </w:tc>
        <w:tc>
          <w:tcPr>
            <w:tcW w:w="2746" w:type="dxa"/>
            <w:vAlign w:val="center"/>
          </w:tcPr>
          <w:p w14:paraId="04751D8F">
            <w:pPr>
              <w:widowControl/>
              <w:ind w:firstLine="32" w:firstLineChars="18"/>
              <w:jc w:val="left"/>
              <w:rPr>
                <w:rFonts w:ascii="宋体" w:hAnsi="宋体" w:cs="Arial"/>
                <w:kern w:val="0"/>
                <w:sz w:val="18"/>
                <w:szCs w:val="18"/>
              </w:rPr>
            </w:pPr>
            <w:r>
              <w:rPr>
                <w:rFonts w:hint="eastAsia" w:ascii="宋体" w:hAnsi="宋体" w:cs="Arial"/>
                <w:sz w:val="18"/>
                <w:szCs w:val="18"/>
              </w:rPr>
              <w:t>材料热老化、结构局部改变；材料粘结；电路产生零点漂移。</w:t>
            </w:r>
          </w:p>
        </w:tc>
      </w:tr>
      <w:tr w14:paraId="12A5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959" w:type="dxa"/>
            <w:vAlign w:val="center"/>
          </w:tcPr>
          <w:p w14:paraId="50ED4B5D">
            <w:pPr>
              <w:widowControl/>
              <w:numPr>
                <w:ilvl w:val="0"/>
                <w:numId w:val="5"/>
              </w:numPr>
              <w:jc w:val="center"/>
              <w:rPr>
                <w:rFonts w:ascii="宋体" w:hAnsi="宋体" w:cs="Arial"/>
                <w:b/>
                <w:bCs/>
                <w:sz w:val="18"/>
                <w:szCs w:val="18"/>
              </w:rPr>
            </w:pPr>
          </w:p>
        </w:tc>
        <w:tc>
          <w:tcPr>
            <w:tcW w:w="1478" w:type="dxa"/>
            <w:vAlign w:val="center"/>
          </w:tcPr>
          <w:p w14:paraId="7FFBA4DF">
            <w:pPr>
              <w:widowControl/>
              <w:jc w:val="center"/>
              <w:rPr>
                <w:rFonts w:ascii="宋体" w:hAnsi="宋体" w:cs="Arial"/>
                <w:kern w:val="0"/>
                <w:sz w:val="18"/>
                <w:szCs w:val="18"/>
              </w:rPr>
            </w:pPr>
            <w:r>
              <w:rPr>
                <w:rFonts w:hint="eastAsia" w:ascii="宋体" w:hAnsi="宋体" w:cs="Arial"/>
                <w:bCs/>
                <w:sz w:val="18"/>
                <w:szCs w:val="18"/>
              </w:rPr>
              <w:t>湿度</w:t>
            </w:r>
          </w:p>
        </w:tc>
        <w:tc>
          <w:tcPr>
            <w:tcW w:w="2921" w:type="dxa"/>
            <w:vAlign w:val="center"/>
          </w:tcPr>
          <w:p w14:paraId="08324F75">
            <w:pPr>
              <w:widowControl/>
              <w:ind w:firstLine="32" w:firstLineChars="18"/>
              <w:jc w:val="left"/>
              <w:rPr>
                <w:rFonts w:ascii="宋体" w:hAnsi="宋体" w:cs="Arial"/>
                <w:kern w:val="0"/>
                <w:sz w:val="18"/>
                <w:szCs w:val="18"/>
              </w:rPr>
            </w:pPr>
            <w:r>
              <w:rPr>
                <w:rFonts w:hint="eastAsia" w:ascii="宋体" w:hAnsi="宋体" w:cs="Arial"/>
                <w:sz w:val="18"/>
                <w:szCs w:val="18"/>
              </w:rPr>
              <w:t>水分增加材料导电性能，提高电子的漏电流；加剧电子元器件的电化学腐蚀和化学反应。</w:t>
            </w:r>
          </w:p>
        </w:tc>
        <w:tc>
          <w:tcPr>
            <w:tcW w:w="2746" w:type="dxa"/>
            <w:vAlign w:val="center"/>
          </w:tcPr>
          <w:p w14:paraId="49836034">
            <w:pPr>
              <w:widowControl/>
              <w:ind w:firstLine="32" w:firstLineChars="18"/>
              <w:jc w:val="left"/>
              <w:rPr>
                <w:rFonts w:ascii="宋体" w:hAnsi="宋体" w:cs="Arial"/>
                <w:kern w:val="0"/>
                <w:sz w:val="18"/>
                <w:szCs w:val="18"/>
              </w:rPr>
            </w:pPr>
            <w:r>
              <w:rPr>
                <w:rFonts w:hint="eastAsia" w:ascii="宋体" w:hAnsi="宋体" w:cs="Arial"/>
                <w:sz w:val="18"/>
                <w:szCs w:val="18"/>
              </w:rPr>
              <w:t>电路短路；元件卡死；电路板腐蚀加快；电化学反应加剧、电路参数漂移。</w:t>
            </w:r>
          </w:p>
        </w:tc>
      </w:tr>
      <w:tr w14:paraId="0722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959" w:type="dxa"/>
            <w:vAlign w:val="center"/>
          </w:tcPr>
          <w:p w14:paraId="68499B97">
            <w:pPr>
              <w:widowControl/>
              <w:numPr>
                <w:ilvl w:val="0"/>
                <w:numId w:val="5"/>
              </w:numPr>
              <w:jc w:val="center"/>
              <w:rPr>
                <w:rFonts w:ascii="宋体" w:hAnsi="宋体" w:cs="Arial"/>
                <w:b/>
                <w:bCs/>
                <w:sz w:val="18"/>
                <w:szCs w:val="18"/>
              </w:rPr>
            </w:pPr>
          </w:p>
        </w:tc>
        <w:tc>
          <w:tcPr>
            <w:tcW w:w="1478" w:type="dxa"/>
            <w:vAlign w:val="center"/>
          </w:tcPr>
          <w:p w14:paraId="0AA48E83">
            <w:pPr>
              <w:widowControl/>
              <w:jc w:val="center"/>
              <w:rPr>
                <w:rFonts w:ascii="宋体" w:hAnsi="宋体" w:cs="Arial"/>
                <w:kern w:val="0"/>
                <w:sz w:val="18"/>
                <w:szCs w:val="18"/>
              </w:rPr>
            </w:pPr>
            <w:r>
              <w:rPr>
                <w:rFonts w:hint="eastAsia" w:ascii="宋体" w:hAnsi="宋体" w:cs="Arial"/>
                <w:bCs/>
                <w:sz w:val="18"/>
                <w:szCs w:val="18"/>
              </w:rPr>
              <w:t>阳光辐射</w:t>
            </w:r>
          </w:p>
        </w:tc>
        <w:tc>
          <w:tcPr>
            <w:tcW w:w="2921" w:type="dxa"/>
            <w:vAlign w:val="center"/>
          </w:tcPr>
          <w:p w14:paraId="3CED4023">
            <w:pPr>
              <w:widowControl/>
              <w:ind w:firstLine="32" w:firstLineChars="18"/>
              <w:jc w:val="left"/>
              <w:rPr>
                <w:rFonts w:ascii="宋体" w:hAnsi="宋体" w:cs="Arial"/>
                <w:kern w:val="0"/>
                <w:sz w:val="18"/>
                <w:szCs w:val="18"/>
              </w:rPr>
            </w:pPr>
            <w:r>
              <w:rPr>
                <w:rFonts w:hint="eastAsia" w:ascii="宋体" w:hAnsi="宋体" w:cs="Arial"/>
                <w:sz w:val="18"/>
                <w:szCs w:val="18"/>
              </w:rPr>
              <w:t>强紫外线致设备外壳、密封胶圈、绝缘老化，损坏液晶面板，以及金属氧化腐蚀等。</w:t>
            </w:r>
          </w:p>
        </w:tc>
        <w:tc>
          <w:tcPr>
            <w:tcW w:w="2746" w:type="dxa"/>
            <w:vAlign w:val="center"/>
          </w:tcPr>
          <w:p w14:paraId="66568614">
            <w:pPr>
              <w:widowControl/>
              <w:ind w:firstLine="32" w:firstLineChars="18"/>
              <w:jc w:val="left"/>
              <w:rPr>
                <w:rFonts w:ascii="宋体" w:hAnsi="宋体" w:cs="Arial"/>
                <w:kern w:val="0"/>
                <w:sz w:val="18"/>
                <w:szCs w:val="18"/>
              </w:rPr>
            </w:pPr>
            <w:r>
              <w:rPr>
                <w:rFonts w:hint="eastAsia" w:ascii="宋体" w:hAnsi="宋体" w:cs="Arial"/>
                <w:sz w:val="18"/>
                <w:szCs w:val="18"/>
              </w:rPr>
              <w:t>外壳强度降低甚至破坏，电能表内部短路、开路致工作异常，显示屏缺划、白屏。</w:t>
            </w:r>
          </w:p>
        </w:tc>
      </w:tr>
      <w:tr w14:paraId="0774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959" w:type="dxa"/>
            <w:vAlign w:val="center"/>
          </w:tcPr>
          <w:p w14:paraId="3DD7E3B9">
            <w:pPr>
              <w:widowControl/>
              <w:numPr>
                <w:ilvl w:val="0"/>
                <w:numId w:val="5"/>
              </w:numPr>
              <w:jc w:val="center"/>
              <w:rPr>
                <w:rFonts w:ascii="宋体" w:hAnsi="宋体" w:cs="Arial"/>
                <w:b/>
                <w:bCs/>
                <w:sz w:val="18"/>
                <w:szCs w:val="18"/>
              </w:rPr>
            </w:pPr>
          </w:p>
        </w:tc>
        <w:tc>
          <w:tcPr>
            <w:tcW w:w="1478" w:type="dxa"/>
            <w:vAlign w:val="center"/>
          </w:tcPr>
          <w:p w14:paraId="744C3190">
            <w:pPr>
              <w:widowControl/>
              <w:jc w:val="center"/>
              <w:rPr>
                <w:rFonts w:ascii="宋体" w:hAnsi="宋体" w:cs="Arial"/>
                <w:kern w:val="0"/>
                <w:sz w:val="18"/>
                <w:szCs w:val="18"/>
              </w:rPr>
            </w:pPr>
            <w:r>
              <w:rPr>
                <w:rFonts w:hint="eastAsia" w:ascii="宋体" w:hAnsi="宋体" w:cs="Arial"/>
                <w:bCs/>
                <w:sz w:val="18"/>
                <w:szCs w:val="18"/>
              </w:rPr>
              <w:t>盐雾</w:t>
            </w:r>
          </w:p>
        </w:tc>
        <w:tc>
          <w:tcPr>
            <w:tcW w:w="2921" w:type="dxa"/>
            <w:vAlign w:val="center"/>
          </w:tcPr>
          <w:p w14:paraId="426D2E9F">
            <w:pPr>
              <w:widowControl/>
              <w:ind w:firstLine="32" w:firstLineChars="18"/>
              <w:jc w:val="left"/>
              <w:rPr>
                <w:rFonts w:ascii="宋体" w:hAnsi="宋体" w:cs="Arial"/>
                <w:kern w:val="0"/>
                <w:sz w:val="18"/>
                <w:szCs w:val="18"/>
              </w:rPr>
            </w:pPr>
            <w:r>
              <w:rPr>
                <w:rFonts w:hint="eastAsia" w:ascii="宋体" w:hAnsi="宋体" w:cs="Arial"/>
                <w:sz w:val="18"/>
                <w:szCs w:val="18"/>
              </w:rPr>
              <w:t>盐雾环境中漂浮着氯化钠离子极易与电路板表面结合，影响电路电极绝缘性。</w:t>
            </w:r>
          </w:p>
        </w:tc>
        <w:tc>
          <w:tcPr>
            <w:tcW w:w="2746" w:type="dxa"/>
            <w:vAlign w:val="center"/>
          </w:tcPr>
          <w:p w14:paraId="6DA13997">
            <w:pPr>
              <w:widowControl/>
              <w:ind w:firstLine="32" w:firstLineChars="18"/>
              <w:jc w:val="left"/>
              <w:rPr>
                <w:rFonts w:ascii="宋体" w:hAnsi="宋体" w:cs="Arial"/>
                <w:kern w:val="0"/>
                <w:sz w:val="18"/>
                <w:szCs w:val="18"/>
              </w:rPr>
            </w:pPr>
            <w:r>
              <w:rPr>
                <w:rFonts w:hint="eastAsia" w:ascii="宋体" w:hAnsi="宋体" w:cs="Arial"/>
                <w:sz w:val="18"/>
                <w:szCs w:val="18"/>
              </w:rPr>
              <w:t>电解作用导致电化学腐蚀加剧；破坏电子元器件涂护层，产生导电层。</w:t>
            </w:r>
          </w:p>
        </w:tc>
      </w:tr>
      <w:tr w14:paraId="055A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959" w:type="dxa"/>
            <w:vAlign w:val="center"/>
          </w:tcPr>
          <w:p w14:paraId="44234D43">
            <w:pPr>
              <w:widowControl/>
              <w:numPr>
                <w:ilvl w:val="0"/>
                <w:numId w:val="5"/>
              </w:numPr>
              <w:jc w:val="center"/>
              <w:rPr>
                <w:rFonts w:ascii="宋体" w:hAnsi="宋体" w:cs="Arial"/>
                <w:b/>
                <w:bCs/>
                <w:sz w:val="18"/>
                <w:szCs w:val="18"/>
              </w:rPr>
            </w:pPr>
          </w:p>
        </w:tc>
        <w:tc>
          <w:tcPr>
            <w:tcW w:w="1478" w:type="dxa"/>
            <w:vAlign w:val="center"/>
          </w:tcPr>
          <w:p w14:paraId="45D5ACE2">
            <w:pPr>
              <w:widowControl/>
              <w:jc w:val="center"/>
              <w:rPr>
                <w:rFonts w:ascii="宋体" w:hAnsi="宋体" w:cs="Arial"/>
                <w:kern w:val="0"/>
                <w:sz w:val="18"/>
                <w:szCs w:val="18"/>
              </w:rPr>
            </w:pPr>
            <w:r>
              <w:rPr>
                <w:rFonts w:hint="eastAsia" w:ascii="宋体" w:hAnsi="宋体" w:cs="Arial"/>
                <w:bCs/>
                <w:sz w:val="18"/>
                <w:szCs w:val="18"/>
              </w:rPr>
              <w:t>降水</w:t>
            </w:r>
          </w:p>
        </w:tc>
        <w:tc>
          <w:tcPr>
            <w:tcW w:w="2921" w:type="dxa"/>
            <w:vAlign w:val="center"/>
          </w:tcPr>
          <w:p w14:paraId="3A7CB375">
            <w:pPr>
              <w:widowControl/>
              <w:ind w:firstLine="32" w:firstLineChars="18"/>
              <w:jc w:val="left"/>
              <w:rPr>
                <w:rFonts w:ascii="宋体" w:hAnsi="宋体" w:cs="Arial"/>
                <w:kern w:val="0"/>
                <w:sz w:val="18"/>
                <w:szCs w:val="18"/>
              </w:rPr>
            </w:pPr>
            <w:r>
              <w:rPr>
                <w:rFonts w:hint="eastAsia" w:ascii="宋体" w:hAnsi="宋体" w:cs="Arial"/>
                <w:color w:val="404040"/>
                <w:sz w:val="18"/>
                <w:szCs w:val="18"/>
              </w:rPr>
              <w:t>雨水进入设备后造成电路板、部件、线路的损毁，破坏设备的绝缘强度，导致设备故障。</w:t>
            </w:r>
          </w:p>
        </w:tc>
        <w:tc>
          <w:tcPr>
            <w:tcW w:w="2746" w:type="dxa"/>
            <w:vAlign w:val="center"/>
          </w:tcPr>
          <w:p w14:paraId="20045664">
            <w:pPr>
              <w:widowControl/>
              <w:ind w:firstLine="32" w:firstLineChars="18"/>
              <w:jc w:val="left"/>
              <w:rPr>
                <w:rFonts w:ascii="宋体" w:hAnsi="宋体" w:cs="Arial"/>
                <w:kern w:val="0"/>
                <w:sz w:val="18"/>
                <w:szCs w:val="18"/>
              </w:rPr>
            </w:pPr>
            <w:r>
              <w:rPr>
                <w:rFonts w:hint="eastAsia" w:ascii="宋体" w:hAnsi="宋体" w:cs="Arial"/>
                <w:color w:val="404040"/>
                <w:sz w:val="18"/>
                <w:szCs w:val="18"/>
              </w:rPr>
              <w:t>电表内部部件、线路板烧毁，或电表线路间短路后烧毁。</w:t>
            </w:r>
          </w:p>
        </w:tc>
      </w:tr>
      <w:tr w14:paraId="4A03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959" w:type="dxa"/>
            <w:vAlign w:val="center"/>
          </w:tcPr>
          <w:p w14:paraId="0A8D2CCB">
            <w:pPr>
              <w:widowControl/>
              <w:numPr>
                <w:ilvl w:val="0"/>
                <w:numId w:val="5"/>
              </w:numPr>
              <w:jc w:val="center"/>
              <w:rPr>
                <w:rFonts w:ascii="宋体" w:hAnsi="宋体" w:cs="Arial"/>
                <w:b/>
                <w:bCs/>
                <w:sz w:val="18"/>
                <w:szCs w:val="18"/>
              </w:rPr>
            </w:pPr>
          </w:p>
        </w:tc>
        <w:tc>
          <w:tcPr>
            <w:tcW w:w="1478" w:type="dxa"/>
            <w:vAlign w:val="center"/>
          </w:tcPr>
          <w:p w14:paraId="76EFCB1A">
            <w:pPr>
              <w:widowControl/>
              <w:jc w:val="center"/>
              <w:rPr>
                <w:rFonts w:ascii="宋体" w:hAnsi="宋体" w:cs="Arial"/>
                <w:kern w:val="0"/>
                <w:sz w:val="18"/>
                <w:szCs w:val="18"/>
              </w:rPr>
            </w:pPr>
            <w:r>
              <w:rPr>
                <w:rFonts w:hint="eastAsia" w:ascii="宋体" w:hAnsi="宋体" w:cs="Arial"/>
                <w:bCs/>
                <w:sz w:val="18"/>
                <w:szCs w:val="18"/>
              </w:rPr>
              <w:t>风</w:t>
            </w:r>
          </w:p>
        </w:tc>
        <w:tc>
          <w:tcPr>
            <w:tcW w:w="2921" w:type="dxa"/>
            <w:vAlign w:val="center"/>
          </w:tcPr>
          <w:p w14:paraId="522B8DAB">
            <w:pPr>
              <w:widowControl/>
              <w:ind w:firstLine="32" w:firstLineChars="18"/>
              <w:jc w:val="left"/>
              <w:rPr>
                <w:rFonts w:ascii="宋体" w:hAnsi="宋体" w:cs="Arial"/>
                <w:kern w:val="0"/>
                <w:sz w:val="18"/>
                <w:szCs w:val="18"/>
              </w:rPr>
            </w:pPr>
            <w:r>
              <w:rPr>
                <w:rFonts w:hint="eastAsia" w:ascii="宋体" w:hAnsi="宋体" w:cs="Arial"/>
                <w:color w:val="404040"/>
                <w:sz w:val="18"/>
                <w:szCs w:val="18"/>
              </w:rPr>
              <w:t>电子设备长时间暴露于大风天气，会导致设备外壳老化加剧，尤其是液晶屏幕。</w:t>
            </w:r>
          </w:p>
        </w:tc>
        <w:tc>
          <w:tcPr>
            <w:tcW w:w="2746" w:type="dxa"/>
            <w:vAlign w:val="center"/>
          </w:tcPr>
          <w:p w14:paraId="67A1A385">
            <w:pPr>
              <w:widowControl/>
              <w:ind w:firstLine="32" w:firstLineChars="18"/>
              <w:jc w:val="left"/>
              <w:rPr>
                <w:rFonts w:ascii="宋体" w:hAnsi="宋体" w:cs="Arial"/>
                <w:kern w:val="0"/>
                <w:sz w:val="18"/>
                <w:szCs w:val="18"/>
              </w:rPr>
            </w:pPr>
            <w:r>
              <w:rPr>
                <w:rFonts w:hint="eastAsia" w:ascii="宋体" w:hAnsi="宋体" w:cs="Arial"/>
                <w:color w:val="404040"/>
                <w:sz w:val="18"/>
                <w:szCs w:val="18"/>
              </w:rPr>
              <w:t>电表外壳、液晶屏幕会加速老化。</w:t>
            </w:r>
          </w:p>
        </w:tc>
      </w:tr>
      <w:tr w14:paraId="02FF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959" w:type="dxa"/>
            <w:vAlign w:val="center"/>
          </w:tcPr>
          <w:p w14:paraId="60E550C2">
            <w:pPr>
              <w:widowControl/>
              <w:numPr>
                <w:ilvl w:val="0"/>
                <w:numId w:val="5"/>
              </w:numPr>
              <w:jc w:val="center"/>
              <w:rPr>
                <w:rFonts w:ascii="宋体" w:hAnsi="宋体" w:cs="Arial"/>
                <w:b/>
                <w:bCs/>
                <w:sz w:val="18"/>
                <w:szCs w:val="18"/>
              </w:rPr>
            </w:pPr>
          </w:p>
        </w:tc>
        <w:tc>
          <w:tcPr>
            <w:tcW w:w="1478" w:type="dxa"/>
            <w:vAlign w:val="center"/>
          </w:tcPr>
          <w:p w14:paraId="4B0280B0">
            <w:pPr>
              <w:widowControl/>
              <w:jc w:val="center"/>
              <w:rPr>
                <w:rFonts w:ascii="宋体" w:hAnsi="宋体" w:cs="Arial"/>
                <w:kern w:val="0"/>
                <w:sz w:val="18"/>
                <w:szCs w:val="18"/>
              </w:rPr>
            </w:pPr>
            <w:r>
              <w:rPr>
                <w:rFonts w:hint="eastAsia" w:ascii="宋体" w:hAnsi="宋体" w:cs="Arial"/>
                <w:bCs/>
                <w:sz w:val="18"/>
                <w:szCs w:val="18"/>
              </w:rPr>
              <w:t>生物</w:t>
            </w:r>
          </w:p>
        </w:tc>
        <w:tc>
          <w:tcPr>
            <w:tcW w:w="2921" w:type="dxa"/>
            <w:vAlign w:val="center"/>
          </w:tcPr>
          <w:p w14:paraId="1742EC31">
            <w:pPr>
              <w:widowControl/>
              <w:ind w:firstLine="32" w:firstLineChars="18"/>
              <w:jc w:val="left"/>
              <w:rPr>
                <w:rFonts w:ascii="宋体" w:hAnsi="宋体" w:cs="Arial"/>
                <w:kern w:val="0"/>
                <w:sz w:val="18"/>
                <w:szCs w:val="18"/>
              </w:rPr>
            </w:pPr>
            <w:r>
              <w:rPr>
                <w:rFonts w:hint="eastAsia" w:ascii="宋体" w:hAnsi="宋体" w:cs="Arial"/>
                <w:color w:val="404040"/>
                <w:sz w:val="18"/>
                <w:szCs w:val="18"/>
              </w:rPr>
              <w:t>啮齿动物与昆虫，可能会咬、啃产品材料、咀嚼产品材料，产品材料、部件、单元及装置造成物理破坏或机械变形。</w:t>
            </w:r>
          </w:p>
        </w:tc>
        <w:tc>
          <w:tcPr>
            <w:tcW w:w="2746" w:type="dxa"/>
            <w:vAlign w:val="center"/>
          </w:tcPr>
          <w:p w14:paraId="6C860572">
            <w:pPr>
              <w:widowControl/>
              <w:ind w:firstLine="32" w:firstLineChars="18"/>
              <w:jc w:val="left"/>
              <w:rPr>
                <w:rFonts w:ascii="宋体" w:hAnsi="宋体" w:cs="Arial"/>
                <w:kern w:val="0"/>
                <w:sz w:val="18"/>
                <w:szCs w:val="18"/>
              </w:rPr>
            </w:pPr>
            <w:r>
              <w:rPr>
                <w:rFonts w:hint="eastAsia" w:ascii="宋体" w:hAnsi="宋体" w:cs="Arial"/>
                <w:color w:val="404040"/>
                <w:sz w:val="18"/>
                <w:szCs w:val="18"/>
              </w:rPr>
              <w:t>电表接线遭到动物咬、啃后造成电表线路短路，导致设备烧毁</w:t>
            </w:r>
          </w:p>
        </w:tc>
      </w:tr>
      <w:tr w14:paraId="501D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59" w:type="dxa"/>
            <w:vAlign w:val="center"/>
          </w:tcPr>
          <w:p w14:paraId="57D2AD69">
            <w:pPr>
              <w:widowControl/>
              <w:numPr>
                <w:ilvl w:val="0"/>
                <w:numId w:val="5"/>
              </w:numPr>
              <w:jc w:val="center"/>
              <w:rPr>
                <w:rFonts w:ascii="宋体" w:hAnsi="宋体" w:cs="Arial"/>
                <w:b/>
                <w:bCs/>
                <w:sz w:val="18"/>
                <w:szCs w:val="18"/>
              </w:rPr>
            </w:pPr>
          </w:p>
        </w:tc>
        <w:tc>
          <w:tcPr>
            <w:tcW w:w="1478" w:type="dxa"/>
            <w:vAlign w:val="center"/>
          </w:tcPr>
          <w:p w14:paraId="16250CA4">
            <w:pPr>
              <w:widowControl/>
              <w:jc w:val="center"/>
              <w:rPr>
                <w:rFonts w:ascii="宋体" w:hAnsi="宋体" w:cs="Arial"/>
                <w:kern w:val="0"/>
                <w:sz w:val="18"/>
                <w:szCs w:val="18"/>
              </w:rPr>
            </w:pPr>
            <w:r>
              <w:rPr>
                <w:rFonts w:hint="eastAsia" w:ascii="宋体" w:hAnsi="宋体" w:cs="Arial"/>
                <w:bCs/>
                <w:sz w:val="18"/>
                <w:szCs w:val="18"/>
              </w:rPr>
              <w:t>振动、冲击</w:t>
            </w:r>
          </w:p>
        </w:tc>
        <w:tc>
          <w:tcPr>
            <w:tcW w:w="2921" w:type="dxa"/>
            <w:vAlign w:val="center"/>
          </w:tcPr>
          <w:p w14:paraId="3955A6B2">
            <w:pPr>
              <w:widowControl/>
              <w:ind w:firstLine="32" w:firstLineChars="18"/>
              <w:jc w:val="left"/>
              <w:rPr>
                <w:rFonts w:ascii="宋体" w:hAnsi="宋体" w:cs="Arial"/>
                <w:kern w:val="0"/>
                <w:sz w:val="18"/>
                <w:szCs w:val="18"/>
              </w:rPr>
            </w:pPr>
            <w:r>
              <w:rPr>
                <w:rFonts w:hint="eastAsia" w:ascii="宋体" w:hAnsi="宋体" w:cs="Arial"/>
                <w:color w:val="404040"/>
                <w:sz w:val="18"/>
                <w:szCs w:val="18"/>
              </w:rPr>
              <w:t>外力造成电子设备内部部件移位、脱落、松动，从而导致设备故障。</w:t>
            </w:r>
          </w:p>
        </w:tc>
        <w:tc>
          <w:tcPr>
            <w:tcW w:w="2746" w:type="dxa"/>
            <w:vAlign w:val="center"/>
          </w:tcPr>
          <w:p w14:paraId="610A6A81">
            <w:pPr>
              <w:widowControl/>
              <w:ind w:firstLine="32" w:firstLineChars="18"/>
              <w:jc w:val="left"/>
              <w:rPr>
                <w:rFonts w:ascii="宋体" w:hAnsi="宋体" w:cs="Arial"/>
                <w:kern w:val="0"/>
                <w:sz w:val="18"/>
                <w:szCs w:val="18"/>
              </w:rPr>
            </w:pPr>
            <w:r>
              <w:rPr>
                <w:rFonts w:hint="eastAsia" w:ascii="宋体" w:hAnsi="宋体" w:cs="Arial"/>
                <w:color w:val="404040"/>
                <w:sz w:val="18"/>
                <w:szCs w:val="18"/>
              </w:rPr>
              <w:t>电表内部接插件移位、脱落或松动，导致设备故障</w:t>
            </w:r>
          </w:p>
        </w:tc>
      </w:tr>
    </w:tbl>
    <w:p w14:paraId="5971E130">
      <w:pPr>
        <w:spacing w:line="360" w:lineRule="auto"/>
        <w:ind w:firstLine="480" w:firstLineChars="200"/>
        <w:rPr>
          <w:rFonts w:ascii="宋体"/>
          <w:kern w:val="0"/>
          <w:sz w:val="24"/>
        </w:rPr>
      </w:pPr>
      <w:r>
        <w:rPr>
          <w:rFonts w:hint="eastAsia" w:ascii="宋体"/>
          <w:kern w:val="0"/>
          <w:sz w:val="24"/>
        </w:rPr>
        <w:t>其中，5-8项，由于静止式交流电能表一般为固定使用，且存在一定的防护外壳，在本标准中暂时不考虑这些环境因素。因此，主要针对温度、湿度、阳光辐射以及盐雾的影响效果，对湿热、亚湿热环境进行了分类。</w:t>
      </w:r>
    </w:p>
    <w:p w14:paraId="59B4873C">
      <w:pPr>
        <w:spacing w:line="360" w:lineRule="auto"/>
        <w:ind w:firstLine="480" w:firstLineChars="200"/>
        <w:rPr>
          <w:rFonts w:ascii="宋体"/>
          <w:kern w:val="0"/>
          <w:sz w:val="24"/>
        </w:rPr>
      </w:pPr>
      <w:r>
        <w:rPr>
          <w:rFonts w:hint="eastAsia" w:ascii="宋体"/>
          <w:kern w:val="0"/>
          <w:sz w:val="24"/>
        </w:rPr>
        <w:t>根据GB/T 4797.1-2018中湿热、亚湿热环境，定义智能电能表的使用环境，主要分为以下三种环境：</w:t>
      </w:r>
    </w:p>
    <w:p w14:paraId="011489AC">
      <w:pPr>
        <w:spacing w:line="360" w:lineRule="auto"/>
        <w:ind w:firstLine="480" w:firstLineChars="200"/>
        <w:rPr>
          <w:rFonts w:ascii="宋体"/>
          <w:kern w:val="0"/>
          <w:sz w:val="24"/>
        </w:rPr>
      </w:pPr>
      <w:r>
        <w:rPr>
          <w:rFonts w:hint="eastAsia" w:ascii="宋体"/>
          <w:kern w:val="0"/>
          <w:sz w:val="24"/>
        </w:rPr>
        <w:t>a)</w:t>
      </w:r>
      <w:r>
        <w:rPr>
          <w:rFonts w:hint="eastAsia" w:ascii="宋体"/>
          <w:kern w:val="0"/>
          <w:sz w:val="24"/>
        </w:rPr>
        <w:tab/>
      </w:r>
      <w:r>
        <w:rPr>
          <w:rFonts w:hint="eastAsia" w:ascii="宋体"/>
          <w:kern w:val="0"/>
          <w:sz w:val="24"/>
        </w:rPr>
        <w:t>沿海环境,为离海距离≤5km的环境。沿海区域由于离海边较近，会受到海洋大气的盐雾粒子的影响，智能电表在这些环境使用需要考虑其腐蚀性影响。</w:t>
      </w:r>
    </w:p>
    <w:p w14:paraId="2C9851EF">
      <w:pPr>
        <w:spacing w:line="360" w:lineRule="auto"/>
        <w:ind w:firstLine="480" w:firstLineChars="200"/>
        <w:rPr>
          <w:rFonts w:ascii="宋体"/>
          <w:kern w:val="0"/>
          <w:sz w:val="24"/>
        </w:rPr>
      </w:pPr>
      <w:r>
        <w:rPr>
          <w:rFonts w:hint="eastAsia" w:ascii="宋体"/>
          <w:kern w:val="0"/>
          <w:sz w:val="24"/>
        </w:rPr>
        <w:t>b)</w:t>
      </w:r>
      <w:r>
        <w:rPr>
          <w:rFonts w:hint="eastAsia" w:ascii="宋体"/>
          <w:kern w:val="0"/>
          <w:sz w:val="24"/>
        </w:rPr>
        <w:tab/>
      </w:r>
      <w:r>
        <w:rPr>
          <w:rFonts w:hint="eastAsia" w:ascii="宋体"/>
          <w:kern w:val="0"/>
          <w:sz w:val="24"/>
        </w:rPr>
        <w:t>冬季冰冻环境，为在冬季部分寒潮作用时会出现0度以下的低温在区域，智能电表在这些环境使用需要考虑其低温的影响；</w:t>
      </w:r>
    </w:p>
    <w:p w14:paraId="7B40A5A2">
      <w:pPr>
        <w:spacing w:line="360" w:lineRule="auto"/>
        <w:ind w:firstLine="480" w:firstLineChars="200"/>
        <w:rPr>
          <w:rFonts w:ascii="宋体"/>
          <w:kern w:val="0"/>
          <w:sz w:val="24"/>
        </w:rPr>
      </w:pPr>
      <w:r>
        <w:rPr>
          <w:rFonts w:hint="eastAsia" w:ascii="宋体"/>
          <w:kern w:val="0"/>
          <w:sz w:val="24"/>
        </w:rPr>
        <w:t>c)</w:t>
      </w:r>
      <w:r>
        <w:rPr>
          <w:rFonts w:hint="eastAsia" w:ascii="宋体"/>
          <w:kern w:val="0"/>
          <w:sz w:val="24"/>
        </w:rPr>
        <w:tab/>
      </w:r>
      <w:r>
        <w:rPr>
          <w:rFonts w:hint="eastAsia" w:ascii="宋体"/>
          <w:kern w:val="0"/>
          <w:sz w:val="24"/>
        </w:rPr>
        <w:t>一般环境, 除了沿海区域以及冬季冰冻山区以外的环境。</w:t>
      </w:r>
    </w:p>
    <w:p w14:paraId="1C78DE7C">
      <w:pPr>
        <w:spacing w:line="360" w:lineRule="auto"/>
        <w:ind w:firstLine="480" w:firstLineChars="200"/>
        <w:rPr>
          <w:rFonts w:ascii="宋体"/>
          <w:kern w:val="0"/>
          <w:sz w:val="24"/>
        </w:rPr>
      </w:pPr>
    </w:p>
    <w:p w14:paraId="57B01D86">
      <w:pPr>
        <w:spacing w:line="360" w:lineRule="auto"/>
        <w:rPr>
          <w:rFonts w:ascii="宋体"/>
          <w:b/>
          <w:kern w:val="0"/>
          <w:sz w:val="24"/>
        </w:rPr>
      </w:pPr>
      <w:r>
        <w:rPr>
          <w:rFonts w:hint="eastAsia" w:ascii="宋体"/>
          <w:b/>
          <w:kern w:val="0"/>
          <w:sz w:val="24"/>
        </w:rPr>
        <w:t>2. 结果评定的原则</w:t>
      </w:r>
    </w:p>
    <w:p w14:paraId="6FB69B27">
      <w:pPr>
        <w:spacing w:line="360" w:lineRule="auto"/>
        <w:ind w:firstLine="420"/>
        <w:rPr>
          <w:rFonts w:ascii="宋体" w:hAnsi="宋体" w:cs="宋体"/>
          <w:sz w:val="24"/>
        </w:rPr>
      </w:pPr>
      <w:r>
        <w:rPr>
          <w:rFonts w:hint="eastAsia" w:ascii="宋体" w:hAnsi="宋体" w:cs="宋体"/>
          <w:sz w:val="24"/>
        </w:rPr>
        <w:t>为了与国内外标准相互协调，对于开展耐久性试验后的电能表，主要参照现有的国标</w:t>
      </w:r>
      <w:r>
        <w:rPr>
          <w:rFonts w:ascii="宋体" w:hAnsi="宋体" w:cs="宋体"/>
          <w:sz w:val="24"/>
        </w:rPr>
        <w:t>GB</w:t>
      </w:r>
      <w:r>
        <w:rPr>
          <w:rFonts w:hint="eastAsia" w:ascii="宋体" w:hAnsi="宋体" w:cs="宋体"/>
          <w:sz w:val="24"/>
        </w:rPr>
        <w:t>/</w:t>
      </w:r>
      <w:r>
        <w:rPr>
          <w:rFonts w:ascii="宋体" w:hAnsi="宋体" w:cs="宋体"/>
          <w:sz w:val="24"/>
        </w:rPr>
        <w:t>T 17215.304-2017</w:t>
      </w:r>
      <w:r>
        <w:rPr>
          <w:rFonts w:hint="eastAsia" w:ascii="宋体" w:hAnsi="宋体" w:cs="宋体"/>
          <w:sz w:val="24"/>
        </w:rPr>
        <w:t>《交流电测量设备特殊要求第4部分：经电子互感器接入的静止式电能表智能电能表》中的要求开展外观检查、时钟准确度试验、电能示值组合误差试验、需量示值误差试验、起动和潜动试验、仪表常数试验、准确度试验。</w:t>
      </w:r>
    </w:p>
    <w:p w14:paraId="54B06A0B">
      <w:pPr>
        <w:spacing w:line="360" w:lineRule="auto"/>
        <w:ind w:firstLine="420"/>
        <w:rPr>
          <w:rFonts w:ascii="宋体" w:hAnsi="宋体" w:cs="宋体"/>
          <w:sz w:val="24"/>
        </w:rPr>
      </w:pPr>
      <w:r>
        <w:rPr>
          <w:rFonts w:hint="eastAsia" w:ascii="宋体" w:hAnsi="宋体" w:cs="宋体"/>
          <w:sz w:val="24"/>
        </w:rPr>
        <w:t>具体要求详见标准的6.1.1。</w:t>
      </w:r>
    </w:p>
    <w:p w14:paraId="57563241">
      <w:pPr>
        <w:spacing w:line="360" w:lineRule="auto"/>
        <w:ind w:firstLine="420"/>
        <w:rPr>
          <w:rFonts w:ascii="宋体"/>
          <w:kern w:val="0"/>
          <w:sz w:val="24"/>
        </w:rPr>
      </w:pPr>
    </w:p>
    <w:p w14:paraId="7D4CF750">
      <w:pPr>
        <w:spacing w:line="360" w:lineRule="auto"/>
        <w:rPr>
          <w:rFonts w:ascii="宋体"/>
          <w:b/>
          <w:kern w:val="0"/>
          <w:sz w:val="24"/>
        </w:rPr>
      </w:pPr>
      <w:r>
        <w:rPr>
          <w:rFonts w:hint="eastAsia" w:ascii="宋体"/>
          <w:b/>
          <w:kern w:val="0"/>
          <w:sz w:val="24"/>
        </w:rPr>
        <w:t>3. 试验验证过程的设计理念</w:t>
      </w:r>
    </w:p>
    <w:p w14:paraId="6AF06AE3">
      <w:pPr>
        <w:spacing w:line="360" w:lineRule="auto"/>
        <w:rPr>
          <w:rFonts w:ascii="宋体"/>
          <w:b/>
          <w:kern w:val="0"/>
          <w:sz w:val="24"/>
        </w:rPr>
      </w:pPr>
      <w:r>
        <w:rPr>
          <w:rFonts w:hint="eastAsia" w:ascii="宋体"/>
          <w:b/>
          <w:kern w:val="0"/>
          <w:sz w:val="24"/>
        </w:rPr>
        <w:t>3.1 总体原则</w:t>
      </w:r>
    </w:p>
    <w:p w14:paraId="6F99BB1A">
      <w:pPr>
        <w:spacing w:line="360" w:lineRule="auto"/>
        <w:ind w:firstLine="480" w:firstLineChars="200"/>
        <w:rPr>
          <w:rFonts w:ascii="宋体"/>
          <w:kern w:val="0"/>
          <w:sz w:val="24"/>
        </w:rPr>
      </w:pPr>
      <w:r>
        <w:rPr>
          <w:rFonts w:hint="eastAsia" w:ascii="宋体"/>
          <w:kern w:val="0"/>
          <w:sz w:val="24"/>
        </w:rPr>
        <w:t>基于本文表2中的环境因素对电能表的影响，环境因素的相互耦合作用，会导致失效作用的叠加，例如：</w:t>
      </w:r>
    </w:p>
    <w:p w14:paraId="77F1B840">
      <w:pPr>
        <w:spacing w:line="360" w:lineRule="auto"/>
        <w:ind w:firstLine="480" w:firstLineChars="200"/>
        <w:rPr>
          <w:rFonts w:ascii="宋体"/>
          <w:kern w:val="0"/>
          <w:sz w:val="24"/>
        </w:rPr>
      </w:pPr>
      <w:r>
        <w:rPr>
          <w:rFonts w:hint="eastAsia" w:ascii="宋体"/>
          <w:kern w:val="0"/>
          <w:sz w:val="24"/>
        </w:rPr>
        <w:t>a）由于温度、光照产生的老化作用导致了产品的结构失效产生了外壳变脆，在这基础上，在温度变化的热胀冷缩等作用下变形，外壳强度进一步降低，导致了密封失效；</w:t>
      </w:r>
    </w:p>
    <w:p w14:paraId="208D459E">
      <w:pPr>
        <w:spacing w:line="360" w:lineRule="auto"/>
        <w:ind w:firstLine="480" w:firstLineChars="200"/>
        <w:rPr>
          <w:rFonts w:ascii="宋体"/>
          <w:kern w:val="0"/>
          <w:sz w:val="24"/>
        </w:rPr>
      </w:pPr>
      <w:r>
        <w:rPr>
          <w:rFonts w:hint="eastAsia" w:ascii="宋体"/>
          <w:kern w:val="0"/>
          <w:sz w:val="24"/>
        </w:rPr>
        <w:t>b）由于外壳的密封失效，导致了外界的湿度、盐雾等进入了产品内部，使得电子元器件腐蚀，最终导致了电路短路等失效。</w:t>
      </w:r>
    </w:p>
    <w:p w14:paraId="3C0F2CF2">
      <w:pPr>
        <w:spacing w:line="360" w:lineRule="auto"/>
        <w:ind w:firstLine="480" w:firstLineChars="200"/>
        <w:rPr>
          <w:rFonts w:ascii="宋体"/>
          <w:kern w:val="0"/>
          <w:sz w:val="24"/>
        </w:rPr>
      </w:pPr>
      <w:r>
        <w:rPr>
          <w:rFonts w:hint="eastAsia" w:ascii="宋体"/>
          <w:kern w:val="0"/>
          <w:sz w:val="24"/>
        </w:rPr>
        <w:t>而在以上耐久性失效作用下，基于上文的结果评定原则，主要涉及电能表的电子器件的整体性能，涉及系统的可靠性。因此，对于环境耐久性试验的验证过程，</w:t>
      </w:r>
      <w:r>
        <w:rPr>
          <w:rFonts w:hint="eastAsia" w:ascii="宋体"/>
          <w:b/>
          <w:kern w:val="0"/>
          <w:sz w:val="24"/>
        </w:rPr>
        <w:t>需同时考虑材料的老化腐蚀的影响，以及电子电器的可靠性执行度评定</w:t>
      </w:r>
      <w:r>
        <w:rPr>
          <w:rFonts w:hint="eastAsia" w:ascii="宋体"/>
          <w:kern w:val="0"/>
          <w:sz w:val="24"/>
        </w:rPr>
        <w:t>。</w:t>
      </w:r>
    </w:p>
    <w:p w14:paraId="7C45B7FC">
      <w:pPr>
        <w:spacing w:line="360" w:lineRule="auto"/>
        <w:ind w:firstLine="480" w:firstLineChars="200"/>
        <w:rPr>
          <w:rFonts w:ascii="宋体"/>
          <w:kern w:val="0"/>
          <w:sz w:val="24"/>
        </w:rPr>
      </w:pPr>
      <w:r>
        <w:rPr>
          <w:rFonts w:hint="eastAsia" w:ascii="宋体"/>
          <w:kern w:val="0"/>
          <w:sz w:val="24"/>
        </w:rPr>
        <w:t>由于对于我国湿热、亚湿热地区，温度、湿度的综合影响，是电能表的主要环境影响作用因素，因此，参考标准GB/T 17215.9311-2017《电测量设备可信性第311部分:温度和湿度加速可靠性试验》的进行湿热试验条件的设计，然后，针对其他的环境影响因素，根据GB/T 2423《环境试验 第2部分：试验方法》系列标准，参考GB/T 20159.3-2011《环境条件分类 环境条件分类与环境试验之间的关系及转换指南 有气候防护场所固定使用》标准的要求，进行等效性验证。</w:t>
      </w:r>
    </w:p>
    <w:p w14:paraId="7F338308">
      <w:pPr>
        <w:spacing w:line="360" w:lineRule="auto"/>
        <w:rPr>
          <w:rFonts w:ascii="宋体"/>
          <w:b/>
          <w:kern w:val="0"/>
          <w:sz w:val="24"/>
        </w:rPr>
      </w:pPr>
      <w:r>
        <w:rPr>
          <w:rFonts w:hint="eastAsia" w:ascii="宋体"/>
          <w:b/>
          <w:kern w:val="0"/>
          <w:sz w:val="24"/>
        </w:rPr>
        <w:t>3.2 试验工况条件的选定</w:t>
      </w:r>
    </w:p>
    <w:p w14:paraId="07A87E5A">
      <w:pPr>
        <w:spacing w:line="360" w:lineRule="auto"/>
        <w:ind w:firstLine="480" w:firstLineChars="200"/>
        <w:rPr>
          <w:rFonts w:ascii="宋体"/>
          <w:kern w:val="0"/>
          <w:sz w:val="24"/>
        </w:rPr>
      </w:pPr>
      <w:r>
        <w:rPr>
          <w:rFonts w:hint="eastAsia" w:ascii="宋体"/>
          <w:kern w:val="0"/>
          <w:sz w:val="24"/>
        </w:rPr>
        <w:t>对于耐久性试验的工况条件，参考</w:t>
      </w:r>
      <w:r>
        <w:rPr>
          <w:rFonts w:ascii="宋体"/>
          <w:kern w:val="0"/>
          <w:sz w:val="24"/>
        </w:rPr>
        <w:t>GB/T 17215.9321-2016</w:t>
      </w:r>
      <w:r>
        <w:rPr>
          <w:rFonts w:hint="eastAsia" w:ascii="宋体"/>
          <w:kern w:val="0"/>
          <w:sz w:val="24"/>
        </w:rPr>
        <w:t>《电测量设备可信性第321部分:耐久性-高温下的计量特性稳定性试验》的第6章的规定：</w:t>
      </w:r>
    </w:p>
    <w:p w14:paraId="7BF1CE7B">
      <w:pPr>
        <w:spacing w:line="360" w:lineRule="auto"/>
      </w:pPr>
      <w:r>
        <w:drawing>
          <wp:inline distT="0" distB="0" distL="0" distR="0">
            <wp:extent cx="5486400" cy="25082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486400" cy="2508250"/>
                    </a:xfrm>
                    <a:prstGeom prst="rect">
                      <a:avLst/>
                    </a:prstGeom>
                    <a:noFill/>
                    <a:ln>
                      <a:noFill/>
                    </a:ln>
                  </pic:spPr>
                </pic:pic>
              </a:graphicData>
            </a:graphic>
          </wp:inline>
        </w:drawing>
      </w:r>
    </w:p>
    <w:p w14:paraId="52393B93">
      <w:pPr>
        <w:spacing w:line="360" w:lineRule="auto"/>
        <w:ind w:firstLine="480" w:firstLineChars="200"/>
        <w:rPr>
          <w:rFonts w:ascii="宋体"/>
          <w:kern w:val="0"/>
          <w:sz w:val="24"/>
        </w:rPr>
      </w:pPr>
      <w:r>
        <w:rPr>
          <w:rFonts w:hint="eastAsia" w:ascii="宋体"/>
          <w:kern w:val="0"/>
          <w:sz w:val="24"/>
        </w:rPr>
        <w:t>对于本标准，选定工况条件如下：</w:t>
      </w:r>
    </w:p>
    <w:p w14:paraId="1AD44186">
      <w:pPr>
        <w:pStyle w:val="27"/>
        <w:numPr>
          <w:ilvl w:val="0"/>
          <w:numId w:val="6"/>
        </w:numPr>
      </w:pPr>
      <w:r>
        <w:rPr>
          <w:rFonts w:hint="eastAsia"/>
        </w:rPr>
        <w:t>电压值：1.1</w:t>
      </w:r>
      <w:r>
        <w:rPr>
          <w:rFonts w:hint="eastAsia"/>
          <w:i/>
        </w:rPr>
        <w:t>U</w:t>
      </w:r>
      <w:r>
        <w:rPr>
          <w:rFonts w:hint="eastAsia"/>
          <w:vertAlign w:val="subscript"/>
        </w:rPr>
        <w:t>n</w:t>
      </w:r>
      <w:r>
        <w:rPr>
          <w:rFonts w:hint="eastAsia"/>
        </w:rPr>
        <w:t>；</w:t>
      </w:r>
    </w:p>
    <w:p w14:paraId="370C0732">
      <w:pPr>
        <w:pStyle w:val="27"/>
        <w:numPr>
          <w:ilvl w:val="0"/>
          <w:numId w:val="6"/>
        </w:numPr>
      </w:pPr>
      <w:r>
        <w:rPr>
          <w:rFonts w:hint="eastAsia"/>
        </w:rPr>
        <w:t>电流值：I</w:t>
      </w:r>
      <w:r>
        <w:rPr>
          <w:rFonts w:hint="eastAsia"/>
          <w:vertAlign w:val="subscript"/>
        </w:rPr>
        <w:t>max</w:t>
      </w:r>
      <w:r>
        <w:rPr>
          <w:rFonts w:hint="eastAsia"/>
        </w:rPr>
        <w:t>；</w:t>
      </w:r>
    </w:p>
    <w:p w14:paraId="644DAB91">
      <w:pPr>
        <w:pStyle w:val="27"/>
        <w:numPr>
          <w:ilvl w:val="0"/>
          <w:numId w:val="6"/>
        </w:numPr>
      </w:pPr>
      <w:r>
        <w:rPr>
          <w:rFonts w:hint="eastAsia"/>
        </w:rPr>
        <w:t>功率因数值：1</w:t>
      </w:r>
      <w:r>
        <w:t>。</w:t>
      </w:r>
    </w:p>
    <w:p w14:paraId="60C8EEB8">
      <w:pPr>
        <w:pStyle w:val="27"/>
        <w:numPr>
          <w:ilvl w:val="0"/>
          <w:numId w:val="0"/>
        </w:numPr>
        <w:ind w:left="851"/>
      </w:pPr>
    </w:p>
    <w:p w14:paraId="182CA62D">
      <w:pPr>
        <w:spacing w:line="360" w:lineRule="auto"/>
        <w:rPr>
          <w:rFonts w:ascii="宋体"/>
          <w:b/>
          <w:kern w:val="0"/>
          <w:sz w:val="24"/>
        </w:rPr>
      </w:pPr>
      <w:r>
        <w:rPr>
          <w:rFonts w:hint="eastAsia" w:ascii="宋体"/>
          <w:b/>
          <w:kern w:val="0"/>
          <w:sz w:val="24"/>
        </w:rPr>
        <w:t>3.3 湿热试验条件设定原则</w:t>
      </w:r>
    </w:p>
    <w:p w14:paraId="048AB72C">
      <w:pPr>
        <w:spacing w:line="360" w:lineRule="auto"/>
        <w:ind w:firstLine="480" w:firstLineChars="200"/>
        <w:rPr>
          <w:rFonts w:ascii="宋体"/>
          <w:kern w:val="0"/>
          <w:sz w:val="24"/>
        </w:rPr>
      </w:pPr>
      <w:r>
        <w:rPr>
          <w:rFonts w:hint="eastAsia" w:ascii="宋体"/>
          <w:kern w:val="0"/>
          <w:sz w:val="24"/>
        </w:rPr>
        <w:t>根据GB/T 17215.9311-2017《电测量设备可信性第311部分:温度和湿度加速可靠性试验》的9.1节，对我国湿热地区进行环境条件进行计算。</w:t>
      </w:r>
    </w:p>
    <w:p w14:paraId="211FC528">
      <w:pPr>
        <w:spacing w:line="360" w:lineRule="auto"/>
        <w:ind w:firstLine="480" w:firstLineChars="200"/>
        <w:rPr>
          <w:rFonts w:ascii="宋体"/>
          <w:kern w:val="0"/>
          <w:sz w:val="24"/>
        </w:rPr>
      </w:pPr>
      <w:r>
        <w:rPr>
          <w:rFonts w:hint="eastAsia" w:ascii="宋体"/>
          <w:kern w:val="0"/>
          <w:sz w:val="24"/>
        </w:rPr>
        <w:t>以下为针对广东省广州市的气象数据典型年份案例：</w:t>
      </w:r>
    </w:p>
    <w:p w14:paraId="0E84CFBD">
      <w:pPr>
        <w:spacing w:line="240" w:lineRule="atLeast"/>
        <w:jc w:val="distribute"/>
      </w:pPr>
      <w:r>
        <w:drawing>
          <wp:inline distT="0" distB="0" distL="0" distR="0">
            <wp:extent cx="2451100" cy="1441450"/>
            <wp:effectExtent l="0" t="0" r="635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451100" cy="1441450"/>
                    </a:xfrm>
                    <a:prstGeom prst="rect">
                      <a:avLst/>
                    </a:prstGeom>
                    <a:noFill/>
                    <a:ln>
                      <a:noFill/>
                    </a:ln>
                  </pic:spPr>
                </pic:pic>
              </a:graphicData>
            </a:graphic>
          </wp:inline>
        </w:drawing>
      </w:r>
      <w:r>
        <w:t xml:space="preserve"> </w:t>
      </w:r>
      <w:r>
        <w:rPr>
          <w:rFonts w:hint="eastAsia"/>
        </w:rPr>
        <w:t xml:space="preserve"> </w:t>
      </w:r>
      <w:r>
        <w:drawing>
          <wp:inline distT="0" distB="0" distL="0" distR="0">
            <wp:extent cx="2451100" cy="1441450"/>
            <wp:effectExtent l="0" t="0" r="635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451100" cy="1441450"/>
                    </a:xfrm>
                    <a:prstGeom prst="rect">
                      <a:avLst/>
                    </a:prstGeom>
                    <a:noFill/>
                    <a:ln>
                      <a:noFill/>
                    </a:ln>
                  </pic:spPr>
                </pic:pic>
              </a:graphicData>
            </a:graphic>
          </wp:inline>
        </w:drawing>
      </w:r>
    </w:p>
    <w:p w14:paraId="3C4663E8">
      <w:pPr>
        <w:numPr>
          <w:ilvl w:val="0"/>
          <w:numId w:val="7"/>
        </w:numPr>
        <w:spacing w:line="240" w:lineRule="atLeast"/>
        <w:jc w:val="center"/>
        <w:rPr>
          <w:rFonts w:ascii="宋体"/>
          <w:kern w:val="0"/>
          <w:sz w:val="24"/>
        </w:rPr>
      </w:pPr>
      <w:r>
        <w:rPr>
          <w:rFonts w:hint="eastAsia"/>
        </w:rPr>
        <w:t>温度条件</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（b）湿度条件</w:t>
      </w:r>
    </w:p>
    <w:p w14:paraId="39E6E58B">
      <w:pPr>
        <w:spacing w:line="360" w:lineRule="auto"/>
        <w:jc w:val="center"/>
        <w:rPr>
          <w:rFonts w:ascii="宋体"/>
          <w:b/>
          <w:kern w:val="0"/>
          <w:sz w:val="24"/>
        </w:rPr>
      </w:pPr>
      <w:r>
        <w:rPr>
          <w:rFonts w:hint="eastAsia" w:ascii="宋体"/>
          <w:b/>
          <w:kern w:val="0"/>
          <w:sz w:val="24"/>
        </w:rPr>
        <w:t>图1 温湿度气象条件参数实例</w:t>
      </w:r>
    </w:p>
    <w:p w14:paraId="0B39AF31">
      <w:pPr>
        <w:spacing w:line="360" w:lineRule="auto"/>
        <w:ind w:firstLine="480" w:firstLineChars="200"/>
        <w:rPr>
          <w:rFonts w:ascii="宋体"/>
          <w:kern w:val="0"/>
          <w:sz w:val="24"/>
        </w:rPr>
      </w:pPr>
      <w:r>
        <w:rPr>
          <w:rFonts w:hint="eastAsia" w:ascii="宋体"/>
          <w:kern w:val="0"/>
          <w:sz w:val="24"/>
        </w:rPr>
        <w:t>按照3.2的耐久性条件，温度上限值考虑工作范围温度范围，选用55</w:t>
      </w:r>
      <w:r>
        <w:rPr>
          <w:rFonts w:hint="eastAsia" w:ascii="宋体" w:hAnsi="宋体"/>
          <w:kern w:val="0"/>
          <w:sz w:val="24"/>
        </w:rPr>
        <w:t>℃，在此情况下可以允许工作升温15℃，也符合一般电能表70℃-75℃的环境上限</w:t>
      </w:r>
      <w:r>
        <w:rPr>
          <w:rFonts w:hint="eastAsia" w:ascii="宋体"/>
          <w:kern w:val="0"/>
          <w:sz w:val="24"/>
        </w:rPr>
        <w:t>。</w:t>
      </w:r>
    </w:p>
    <w:p w14:paraId="0B9AF008">
      <w:pPr>
        <w:spacing w:line="360" w:lineRule="auto"/>
        <w:ind w:firstLine="480" w:firstLineChars="200"/>
        <w:rPr>
          <w:rFonts w:ascii="宋体"/>
          <w:kern w:val="0"/>
          <w:sz w:val="24"/>
        </w:rPr>
      </w:pPr>
      <w:r>
        <w:rPr>
          <w:rFonts w:hint="eastAsia" w:ascii="宋体"/>
          <w:kern w:val="0"/>
          <w:sz w:val="24"/>
        </w:rPr>
        <w:t>参考GB/T 17215.9311-2017的9.1节的图4以及9.2节的表10，拟定试验条件为55</w:t>
      </w:r>
      <w:r>
        <w:rPr>
          <w:rFonts w:hint="eastAsia" w:ascii="宋体" w:hAnsi="宋体"/>
          <w:kern w:val="0"/>
          <w:sz w:val="24"/>
        </w:rPr>
        <w:t>℃</w:t>
      </w:r>
      <w:r>
        <w:rPr>
          <w:rFonts w:hint="eastAsia" w:ascii="宋体"/>
          <w:kern w:val="0"/>
          <w:sz w:val="24"/>
        </w:rPr>
        <w:t>，85%RH的条件下，计算相对于广州自然户外气候环境的得加</w:t>
      </w:r>
      <w:r>
        <w:rPr>
          <w:rFonts w:hint="eastAsia" w:ascii="宋体"/>
          <w:b/>
          <w:kern w:val="0"/>
          <w:sz w:val="24"/>
        </w:rPr>
        <w:t>速比AF为24.91</w:t>
      </w:r>
      <w:r>
        <w:rPr>
          <w:rFonts w:hint="eastAsia" w:ascii="宋体"/>
          <w:kern w:val="0"/>
          <w:sz w:val="24"/>
        </w:rPr>
        <w:t>。</w:t>
      </w:r>
    </w:p>
    <w:p w14:paraId="33B5B88F">
      <w:pPr>
        <w:spacing w:line="360" w:lineRule="auto"/>
        <w:ind w:firstLine="480" w:firstLineChars="200"/>
        <w:rPr>
          <w:rFonts w:ascii="宋体"/>
          <w:kern w:val="0"/>
          <w:sz w:val="24"/>
        </w:rPr>
      </w:pPr>
      <w:r>
        <w:rPr>
          <w:rFonts w:hint="eastAsia" w:ascii="宋体"/>
          <w:kern w:val="0"/>
          <w:sz w:val="24"/>
        </w:rPr>
        <w:t>参考GB/T 5080.7-1986《设备可靠性试验 恒定失效率假设下的失效率与平均无故障时间的验证试验方案》的根据表1，综合考虑试验成本与风险，拟定选用方案4.8。</w:t>
      </w:r>
    </w:p>
    <w:p w14:paraId="737419FA">
      <w:pPr>
        <w:spacing w:line="360" w:lineRule="auto"/>
        <w:rPr>
          <w:rFonts w:ascii="宋体"/>
          <w:kern w:val="0"/>
          <w:sz w:val="24"/>
        </w:rPr>
      </w:pPr>
      <w:r>
        <mc:AlternateContent>
          <mc:Choice Requires="wps">
            <w:drawing>
              <wp:anchor distT="0" distB="0" distL="114300" distR="114300" simplePos="0" relativeHeight="251660288" behindDoc="0" locked="0" layoutInCell="1" allowOverlap="1">
                <wp:simplePos x="0" y="0"/>
                <wp:positionH relativeFrom="column">
                  <wp:posOffset>83185</wp:posOffset>
                </wp:positionH>
                <wp:positionV relativeFrom="paragraph">
                  <wp:posOffset>1986280</wp:posOffset>
                </wp:positionV>
                <wp:extent cx="3618230" cy="142875"/>
                <wp:effectExtent l="6985" t="5080" r="13335" b="13970"/>
                <wp:wrapNone/>
                <wp:docPr id="15" name="Rectangle 3"/>
                <wp:cNvGraphicFramePr/>
                <a:graphic xmlns:a="http://schemas.openxmlformats.org/drawingml/2006/main">
                  <a:graphicData uri="http://schemas.microsoft.com/office/word/2010/wordprocessingShape">
                    <wps:wsp>
                      <wps:cNvSpPr>
                        <a:spLocks noChangeArrowheads="1"/>
                      </wps:cNvSpPr>
                      <wps:spPr bwMode="auto">
                        <a:xfrm>
                          <a:off x="0" y="0"/>
                          <a:ext cx="3618230" cy="142875"/>
                        </a:xfrm>
                        <a:prstGeom prst="rect">
                          <a:avLst/>
                        </a:prstGeom>
                        <a:noFill/>
                        <a:ln w="9525">
                          <a:solidFill>
                            <a:srgbClr val="C0504D"/>
                          </a:solidFill>
                          <a:miter lim="800000"/>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6.55pt;margin-top:156.4pt;height:11.25pt;width:284.9pt;z-index:251660288;mso-width-relative:page;mso-height-relative:page;" filled="f" stroked="t" coordsize="21600,21600" o:gfxdata="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0bFAnYAAAACgEAAA8AAAAAAAAAAQAgAAAAIgAAAGRycy9kb3ducmV2LnhtbFBLAQIUABQA&#10;AAAIAIdO4kBojeKgKQIAAEoEAAAOAAAAAAAAAAEAIAAAACcBAABkcnMvZTJvRG9jLnhtbFBLBQYA&#10;AAAABgAGAFkBAADCBQAAAAA=&#10;">
                <v:fill on="f" focussize="0,0"/>
                <v:stroke color="#C0504D" miterlimit="8" joinstyle="miter"/>
                <v:imagedata o:title=""/>
                <o:lock v:ext="edit" aspectratio="f"/>
              </v:rect>
            </w:pict>
          </mc:Fallback>
        </mc:AlternateContent>
      </w:r>
      <w:r>
        <w:drawing>
          <wp:inline distT="0" distB="0" distL="0" distR="0">
            <wp:extent cx="5486400" cy="2432050"/>
            <wp:effectExtent l="0" t="0" r="0"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86400" cy="2432050"/>
                    </a:xfrm>
                    <a:prstGeom prst="rect">
                      <a:avLst/>
                    </a:prstGeom>
                    <a:noFill/>
                    <a:ln>
                      <a:noFill/>
                    </a:ln>
                  </pic:spPr>
                </pic:pic>
              </a:graphicData>
            </a:graphic>
          </wp:inline>
        </w:drawing>
      </w:r>
    </w:p>
    <w:p w14:paraId="1D092DFD">
      <w:pPr>
        <w:spacing w:line="360" w:lineRule="auto"/>
        <w:ind w:firstLine="480" w:firstLineChars="200"/>
        <w:rPr>
          <w:rFonts w:ascii="宋体"/>
          <w:kern w:val="0"/>
          <w:sz w:val="24"/>
        </w:rPr>
      </w:pPr>
      <w:r>
        <w:rPr>
          <w:rFonts w:hint="eastAsia" w:ascii="宋体"/>
          <w:kern w:val="0"/>
          <w:sz w:val="24"/>
        </w:rPr>
        <w:t>方案4.8对应表9，暂定每组试验选用10个样品，容许1个样品不合格，则拟开展的试验时间倍数选用2.91。</w:t>
      </w:r>
    </w:p>
    <w:p w14:paraId="30874774">
      <w:pPr>
        <w:spacing w:line="360" w:lineRule="auto"/>
      </w:pPr>
      <w:r>
        <mc:AlternateContent>
          <mc:Choice Requires="wps">
            <w:drawing>
              <wp:anchor distT="0" distB="0" distL="114300" distR="114300" simplePos="0" relativeHeight="251659264" behindDoc="0" locked="0" layoutInCell="1" allowOverlap="1">
                <wp:simplePos x="0" y="0"/>
                <wp:positionH relativeFrom="column">
                  <wp:posOffset>210820</wp:posOffset>
                </wp:positionH>
                <wp:positionV relativeFrom="paragraph">
                  <wp:posOffset>1209040</wp:posOffset>
                </wp:positionV>
                <wp:extent cx="4707255" cy="151130"/>
                <wp:effectExtent l="10795" t="8890" r="6350" b="11430"/>
                <wp:wrapNone/>
                <wp:docPr id="14" name="Rectangle 2"/>
                <wp:cNvGraphicFramePr/>
                <a:graphic xmlns:a="http://schemas.openxmlformats.org/drawingml/2006/main">
                  <a:graphicData uri="http://schemas.microsoft.com/office/word/2010/wordprocessingShape">
                    <wps:wsp>
                      <wps:cNvSpPr>
                        <a:spLocks noChangeArrowheads="1"/>
                      </wps:cNvSpPr>
                      <wps:spPr bwMode="auto">
                        <a:xfrm>
                          <a:off x="0" y="0"/>
                          <a:ext cx="4707255" cy="151130"/>
                        </a:xfrm>
                        <a:prstGeom prst="rect">
                          <a:avLst/>
                        </a:prstGeom>
                        <a:noFill/>
                        <a:ln w="9525">
                          <a:solidFill>
                            <a:srgbClr val="C0504D"/>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16.6pt;margin-top:95.2pt;height:11.9pt;width:370.65pt;z-index:251659264;mso-width-relative:page;mso-height-relative:page;" filled="f" stroked="t" coordsize="21600,21600" o:gfxdata="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NaXBX2AAAAAoBAAAPAAAAAAAAAAEAIAAAACIAAABkcnMvZG93bnJldi54bWxQSwECFAAU&#10;AAAACACHTuJAXl1BSioCAABKBAAADgAAAAAAAAABACAAAAAnAQAAZHJzL2Uyb0RvYy54bWxQSwUG&#10;AAAAAAYABgBZAQAAwwUAAAAA&#10;">
                <v:fill on="f" focussize="0,0"/>
                <v:stroke color="#C0504D" miterlimit="8" joinstyle="miter"/>
                <v:imagedata o:title=""/>
                <o:lock v:ext="edit" aspectratio="f"/>
              </v:rect>
            </w:pict>
          </mc:Fallback>
        </mc:AlternateContent>
      </w:r>
      <w:r>
        <w:drawing>
          <wp:inline distT="0" distB="0" distL="0" distR="0">
            <wp:extent cx="5480050" cy="1917700"/>
            <wp:effectExtent l="0" t="0" r="6350" b="635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80050" cy="1917700"/>
                    </a:xfrm>
                    <a:prstGeom prst="rect">
                      <a:avLst/>
                    </a:prstGeom>
                    <a:noFill/>
                    <a:ln>
                      <a:noFill/>
                    </a:ln>
                  </pic:spPr>
                </pic:pic>
              </a:graphicData>
            </a:graphic>
          </wp:inline>
        </w:drawing>
      </w:r>
    </w:p>
    <w:p w14:paraId="2E873D44">
      <w:pPr>
        <w:spacing w:line="360" w:lineRule="auto"/>
        <w:ind w:firstLine="480" w:firstLineChars="200"/>
        <w:rPr>
          <w:rFonts w:ascii="宋体"/>
          <w:kern w:val="0"/>
          <w:sz w:val="24"/>
        </w:rPr>
      </w:pPr>
      <w:r>
        <w:rPr>
          <w:rFonts w:hint="eastAsia" w:ascii="宋体"/>
          <w:kern w:val="0"/>
          <w:sz w:val="24"/>
        </w:rPr>
        <w:t>结合此前计算的加速比AF=24.91，则拟定采用试验条件为55</w:t>
      </w:r>
      <w:r>
        <w:rPr>
          <w:rFonts w:hint="eastAsia" w:ascii="宋体" w:hAnsi="宋体"/>
          <w:kern w:val="0"/>
          <w:sz w:val="24"/>
        </w:rPr>
        <w:t>℃</w:t>
      </w:r>
      <w:r>
        <w:rPr>
          <w:rFonts w:hint="eastAsia" w:ascii="宋体"/>
          <w:kern w:val="0"/>
          <w:sz w:val="24"/>
        </w:rPr>
        <w:t>，85%RH的湿热试验，选用10个样品，对于我国湿热地区的1年期的每个试验样品的时间为24h*365/24.91*2.91/10</w:t>
      </w:r>
      <w:r>
        <w:rPr>
          <w:rFonts w:ascii="Arial" w:hAnsi="Arial" w:cs="Arial"/>
          <w:color w:val="333333"/>
          <w:sz w:val="20"/>
          <w:szCs w:val="20"/>
          <w:shd w:val="clear" w:color="auto" w:fill="FFFFFF"/>
        </w:rPr>
        <w:t>≈</w:t>
      </w:r>
      <w:r>
        <w:rPr>
          <w:rFonts w:hint="eastAsia" w:ascii="宋体"/>
          <w:kern w:val="0"/>
          <w:sz w:val="24"/>
        </w:rPr>
        <w:t>102h，此时允许10个样品中有1个试验样品发生失效。</w:t>
      </w:r>
    </w:p>
    <w:p w14:paraId="3D79B45A">
      <w:pPr>
        <w:spacing w:line="360" w:lineRule="auto"/>
        <w:ind w:firstLine="480" w:firstLineChars="200"/>
        <w:rPr>
          <w:rFonts w:ascii="宋体"/>
          <w:kern w:val="0"/>
          <w:sz w:val="24"/>
        </w:rPr>
      </w:pPr>
      <w:r>
        <w:rPr>
          <w:rFonts w:hint="eastAsia" w:ascii="宋体"/>
          <w:kern w:val="0"/>
          <w:sz w:val="24"/>
        </w:rPr>
        <w:t>同理，如电能表寿命要求为10年期，则对应10年期的试验时间为102h*10=1020h。</w:t>
      </w:r>
    </w:p>
    <w:p w14:paraId="10F30941">
      <w:pPr>
        <w:spacing w:line="360" w:lineRule="auto"/>
        <w:rPr>
          <w:rFonts w:ascii="宋体"/>
          <w:b/>
          <w:kern w:val="0"/>
          <w:sz w:val="24"/>
        </w:rPr>
      </w:pPr>
      <w:r>
        <w:rPr>
          <w:rFonts w:hint="eastAsia" w:ascii="宋体"/>
          <w:b/>
          <w:kern w:val="0"/>
          <w:sz w:val="24"/>
        </w:rPr>
        <w:t>3.4 环境试验顺序的设计原则</w:t>
      </w:r>
    </w:p>
    <w:p w14:paraId="6ED8ECEB">
      <w:pPr>
        <w:spacing w:line="360" w:lineRule="auto"/>
        <w:ind w:firstLine="480" w:firstLineChars="200"/>
        <w:rPr>
          <w:rFonts w:ascii="宋体"/>
          <w:kern w:val="0"/>
          <w:sz w:val="24"/>
        </w:rPr>
      </w:pPr>
      <w:r>
        <w:rPr>
          <w:rFonts w:hint="eastAsia" w:ascii="宋体"/>
          <w:kern w:val="0"/>
          <w:sz w:val="24"/>
        </w:rPr>
        <w:t>参考GB/T 2421-2020《环境试验 概述和指南》的进行环境试验顺序的设计。</w:t>
      </w:r>
    </w:p>
    <w:p w14:paraId="3304BA45">
      <w:pPr>
        <w:spacing w:line="360" w:lineRule="auto"/>
        <w:ind w:firstLine="480" w:firstLineChars="200"/>
        <w:rPr>
          <w:rFonts w:ascii="宋体"/>
          <w:kern w:val="0"/>
          <w:sz w:val="24"/>
        </w:rPr>
      </w:pPr>
      <w:r>
        <w:rPr>
          <w:rFonts w:hint="eastAsia" w:ascii="宋体"/>
          <w:kern w:val="0"/>
          <w:sz w:val="24"/>
        </w:rPr>
        <w:t>其中产品影响最大的试验顺序建议如下（见GB/T 2421-2020的B.6.4.2）：</w:t>
      </w:r>
    </w:p>
    <w:p w14:paraId="5488B973">
      <w:pPr>
        <w:spacing w:line="360" w:lineRule="auto"/>
        <w:rPr>
          <w:rFonts w:ascii="宋体"/>
          <w:kern w:val="0"/>
          <w:sz w:val="24"/>
        </w:rPr>
      </w:pPr>
      <w:r>
        <w:rPr>
          <w:rFonts w:ascii="宋体"/>
          <w:kern w:val="0"/>
          <w:sz w:val="24"/>
        </w:rPr>
        <w:drawing>
          <wp:inline distT="0" distB="0" distL="0" distR="0">
            <wp:extent cx="5111750" cy="29337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5111750" cy="2933700"/>
                    </a:xfrm>
                    <a:prstGeom prst="rect">
                      <a:avLst/>
                    </a:prstGeom>
                    <a:noFill/>
                    <a:ln>
                      <a:noFill/>
                    </a:ln>
                  </pic:spPr>
                </pic:pic>
              </a:graphicData>
            </a:graphic>
          </wp:inline>
        </w:drawing>
      </w:r>
    </w:p>
    <w:p w14:paraId="16B15166">
      <w:pPr>
        <w:spacing w:line="360" w:lineRule="auto"/>
        <w:ind w:firstLine="480" w:firstLineChars="200"/>
        <w:rPr>
          <w:rFonts w:ascii="宋体"/>
          <w:kern w:val="0"/>
          <w:sz w:val="24"/>
        </w:rPr>
      </w:pPr>
      <w:r>
        <w:rPr>
          <w:rFonts w:hint="eastAsia" w:ascii="宋体"/>
          <w:kern w:val="0"/>
          <w:sz w:val="24"/>
        </w:rPr>
        <w:t>此外，考虑产品特殊用途的，还可以补充太阳辐射试验、结冰试验等。</w:t>
      </w:r>
    </w:p>
    <w:p w14:paraId="760314BA">
      <w:pPr>
        <w:spacing w:line="360" w:lineRule="auto"/>
        <w:ind w:firstLine="480" w:firstLineChars="200"/>
        <w:rPr>
          <w:rFonts w:ascii="宋体"/>
          <w:kern w:val="0"/>
          <w:sz w:val="24"/>
        </w:rPr>
      </w:pPr>
      <w:r>
        <w:rPr>
          <w:rFonts w:hint="eastAsia" w:ascii="宋体"/>
          <w:kern w:val="0"/>
          <w:sz w:val="24"/>
        </w:rPr>
        <w:t>根据本文3.1中的原则，湿热、亚湿热环境，主要需要考虑温度、湿度、光照、盐雾（部分地区）的影响。由于在3.2节中，已经体现了湿热作用的影响，因此，增加试验N快速温度变化试验（考虑如台风、暴雨、冰雹作用下的温度骤降）、腐蚀试验（考虑沿海地区的海洋腐蚀环境）。因此，本标准开展的耐久性试验的顺序拟定为：</w:t>
      </w:r>
    </w:p>
    <w:p w14:paraId="39505557">
      <w:pPr>
        <w:spacing w:line="360" w:lineRule="auto"/>
        <w:ind w:firstLine="480" w:firstLineChars="200"/>
        <w:rPr>
          <w:rFonts w:ascii="宋体"/>
          <w:kern w:val="0"/>
          <w:sz w:val="24"/>
        </w:rPr>
      </w:pPr>
      <w:r>
        <w:rPr>
          <w:rFonts w:hint="eastAsia" w:ascii="宋体"/>
          <w:kern w:val="0"/>
          <w:sz w:val="24"/>
        </w:rPr>
        <w:t>温度变化试验</w:t>
      </w:r>
      <w:r>
        <w:rPr>
          <w:rFonts w:ascii="宋体"/>
          <w:kern w:val="0"/>
          <w:sz w:val="24"/>
        </w:rPr>
        <w:sym w:font="Wingdings" w:char="F0E0"/>
      </w:r>
      <w:r>
        <w:rPr>
          <w:rFonts w:hint="eastAsia" w:ascii="宋体"/>
          <w:kern w:val="0"/>
          <w:sz w:val="24"/>
        </w:rPr>
        <w:t>湿热试验</w:t>
      </w:r>
      <w:r>
        <w:rPr>
          <w:rFonts w:ascii="宋体"/>
          <w:kern w:val="0"/>
          <w:sz w:val="24"/>
        </w:rPr>
        <w:sym w:font="Wingdings" w:char="F0E0"/>
      </w:r>
      <w:r>
        <w:rPr>
          <w:rFonts w:hint="eastAsia" w:ascii="宋体"/>
          <w:kern w:val="0"/>
          <w:sz w:val="24"/>
        </w:rPr>
        <w:t>太阳辐射试验</w:t>
      </w:r>
      <w:r>
        <w:rPr>
          <w:rFonts w:ascii="宋体"/>
          <w:kern w:val="0"/>
          <w:sz w:val="24"/>
        </w:rPr>
        <w:sym w:font="Wingdings" w:char="F0E0"/>
      </w:r>
      <w:r>
        <w:rPr>
          <w:rFonts w:hint="eastAsia" w:ascii="宋体"/>
          <w:kern w:val="0"/>
          <w:sz w:val="24"/>
        </w:rPr>
        <w:t>盐雾试验（海洋环境选做）</w:t>
      </w:r>
    </w:p>
    <w:p w14:paraId="5113E591">
      <w:pPr>
        <w:spacing w:line="360" w:lineRule="auto"/>
        <w:ind w:firstLine="480" w:firstLineChars="200"/>
        <w:rPr>
          <w:rFonts w:ascii="宋体"/>
          <w:kern w:val="0"/>
          <w:sz w:val="24"/>
        </w:rPr>
      </w:pPr>
    </w:p>
    <w:p w14:paraId="4C6C68B1">
      <w:pPr>
        <w:spacing w:line="360" w:lineRule="auto"/>
        <w:rPr>
          <w:rFonts w:ascii="宋体"/>
          <w:b/>
          <w:kern w:val="0"/>
          <w:sz w:val="24"/>
        </w:rPr>
      </w:pPr>
      <w:r>
        <w:rPr>
          <w:rFonts w:hint="eastAsia" w:ascii="宋体"/>
          <w:b/>
          <w:kern w:val="0"/>
          <w:sz w:val="24"/>
        </w:rPr>
        <w:t>3.5 其他试验条件的选择</w:t>
      </w:r>
    </w:p>
    <w:p w14:paraId="19A2D51E">
      <w:pPr>
        <w:spacing w:line="360" w:lineRule="auto"/>
        <w:ind w:firstLine="480" w:firstLineChars="200"/>
        <w:rPr>
          <w:rFonts w:ascii="宋体"/>
          <w:kern w:val="0"/>
          <w:sz w:val="24"/>
        </w:rPr>
      </w:pPr>
      <w:r>
        <w:rPr>
          <w:rFonts w:hint="eastAsia" w:ascii="宋体"/>
          <w:kern w:val="0"/>
          <w:sz w:val="24"/>
        </w:rPr>
        <w:t>湿热试验作为湿热、亚湿热环境的主要耐久性考核试验，在本文3.1中进行了介绍，此节主要介绍温度变化试验、太阳辐射试验，以及盐雾试验的条件参数选择。此部分主要参考GB/T 20159.3-2011《环境条件分类 环境条件分类与环境试验之间的关系及转换指南 有气候防护场所固定使用》标准的要求，同时结合产品标准对于环境试验的建议，进行规定。</w:t>
      </w:r>
    </w:p>
    <w:p w14:paraId="58DA4767">
      <w:pPr>
        <w:numPr>
          <w:ilvl w:val="0"/>
          <w:numId w:val="8"/>
        </w:numPr>
        <w:spacing w:line="360" w:lineRule="auto"/>
        <w:rPr>
          <w:rFonts w:ascii="宋体"/>
          <w:kern w:val="0"/>
          <w:sz w:val="24"/>
        </w:rPr>
      </w:pPr>
      <w:r>
        <w:rPr>
          <w:rFonts w:hint="eastAsia" w:ascii="宋体"/>
          <w:kern w:val="0"/>
          <w:sz w:val="24"/>
        </w:rPr>
        <w:t>温度变化试验</w:t>
      </w:r>
    </w:p>
    <w:p w14:paraId="6214D0C9">
      <w:pPr>
        <w:spacing w:line="360" w:lineRule="auto"/>
        <w:ind w:firstLine="480" w:firstLineChars="200"/>
        <w:rPr>
          <w:rFonts w:ascii="宋体"/>
          <w:kern w:val="0"/>
          <w:sz w:val="24"/>
        </w:rPr>
      </w:pPr>
      <w:r>
        <w:rPr>
          <w:rFonts w:hint="eastAsia" w:ascii="宋体"/>
          <w:kern w:val="0"/>
          <w:sz w:val="24"/>
        </w:rPr>
        <w:t>根据我国湿热环境的温度范围，考虑选择GB/T 20159.3-2011的等级3K9（对应该标准的表A.7的热带场所使用），其温度、湿度环境条件如下：</w:t>
      </w:r>
    </w:p>
    <w:p w14:paraId="39C2929F">
      <w:pPr>
        <w:spacing w:line="360" w:lineRule="auto"/>
        <w:ind w:left="360"/>
        <w:jc w:val="center"/>
      </w:pPr>
      <w:r>
        <w:drawing>
          <wp:inline distT="0" distB="0" distL="0" distR="0">
            <wp:extent cx="2559050" cy="4349750"/>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559050" cy="4349750"/>
                    </a:xfrm>
                    <a:prstGeom prst="rect">
                      <a:avLst/>
                    </a:prstGeom>
                    <a:noFill/>
                    <a:ln>
                      <a:noFill/>
                    </a:ln>
                  </pic:spPr>
                </pic:pic>
              </a:graphicData>
            </a:graphic>
          </wp:inline>
        </w:drawing>
      </w:r>
    </w:p>
    <w:p w14:paraId="7331C750">
      <w:pPr>
        <w:spacing w:line="360" w:lineRule="auto"/>
        <w:ind w:firstLine="480" w:firstLineChars="200"/>
        <w:rPr>
          <w:rFonts w:ascii="宋体"/>
          <w:kern w:val="0"/>
          <w:sz w:val="24"/>
        </w:rPr>
      </w:pPr>
      <w:r>
        <w:rPr>
          <w:rFonts w:hint="eastAsia" w:ascii="宋体"/>
          <w:kern w:val="0"/>
          <w:sz w:val="24"/>
        </w:rPr>
        <w:t>则针对此环境条件，标准中推荐的温度变化试验为GB/T 2423.22Nb（+5℃到环境温度，2个循环，温度变化速率1℃/min，持续暴露时间</w:t>
      </w:r>
      <w:r>
        <w:rPr>
          <w:rFonts w:hint="eastAsia" w:ascii="宋体"/>
          <w:i/>
          <w:kern w:val="0"/>
          <w:sz w:val="24"/>
        </w:rPr>
        <w:t>t</w:t>
      </w:r>
      <w:r>
        <w:rPr>
          <w:rFonts w:hint="eastAsia" w:ascii="宋体"/>
          <w:kern w:val="0"/>
          <w:sz w:val="24"/>
          <w:vertAlign w:val="subscript"/>
        </w:rPr>
        <w:t>1</w:t>
      </w:r>
      <w:r>
        <w:rPr>
          <w:rFonts w:hint="eastAsia" w:ascii="宋体"/>
          <w:kern w:val="0"/>
          <w:sz w:val="24"/>
        </w:rPr>
        <w:t>=3h），即</w:t>
      </w:r>
    </w:p>
    <w:tbl>
      <w:tblPr>
        <w:tblStyle w:val="9"/>
        <w:tblW w:w="0" w:type="auto"/>
        <w:tblInd w:w="0" w:type="dxa"/>
        <w:tblLayout w:type="autofit"/>
        <w:tblCellMar>
          <w:top w:w="0" w:type="dxa"/>
          <w:left w:w="108" w:type="dxa"/>
          <w:bottom w:w="0" w:type="dxa"/>
          <w:right w:w="108" w:type="dxa"/>
        </w:tblCellMar>
      </w:tblPr>
      <w:tblGrid>
        <w:gridCol w:w="8528"/>
      </w:tblGrid>
      <w:tr w14:paraId="5D2C58E8">
        <w:tblPrEx>
          <w:tblCellMar>
            <w:top w:w="0" w:type="dxa"/>
            <w:left w:w="108" w:type="dxa"/>
            <w:bottom w:w="0" w:type="dxa"/>
            <w:right w:w="108" w:type="dxa"/>
          </w:tblCellMar>
        </w:tblPrEx>
        <w:tc>
          <w:tcPr>
            <w:tcW w:w="8528" w:type="dxa"/>
            <w:vAlign w:val="bottom"/>
          </w:tcPr>
          <w:p w14:paraId="3FAFD708">
            <w:pPr>
              <w:spacing w:line="240" w:lineRule="atLeast"/>
              <w:rPr>
                <w:rFonts w:ascii="宋体"/>
                <w:kern w:val="0"/>
                <w:sz w:val="24"/>
              </w:rPr>
            </w:pPr>
            <w:r>
              <w:drawing>
                <wp:inline distT="0" distB="0" distL="0" distR="0">
                  <wp:extent cx="2705100" cy="469900"/>
                  <wp:effectExtent l="0" t="0" r="0" b="635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05100" cy="469900"/>
                          </a:xfrm>
                          <a:prstGeom prst="rect">
                            <a:avLst/>
                          </a:prstGeom>
                          <a:noFill/>
                          <a:ln>
                            <a:noFill/>
                          </a:ln>
                        </pic:spPr>
                      </pic:pic>
                    </a:graphicData>
                  </a:graphic>
                </wp:inline>
              </w:drawing>
            </w:r>
            <w:r>
              <w:drawing>
                <wp:inline distT="0" distB="0" distL="0" distR="0">
                  <wp:extent cx="2432050" cy="444500"/>
                  <wp:effectExtent l="0" t="0" r="635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432050" cy="444500"/>
                          </a:xfrm>
                          <a:prstGeom prst="rect">
                            <a:avLst/>
                          </a:prstGeom>
                          <a:noFill/>
                          <a:ln>
                            <a:noFill/>
                          </a:ln>
                        </pic:spPr>
                      </pic:pic>
                    </a:graphicData>
                  </a:graphic>
                </wp:inline>
              </w:drawing>
            </w:r>
          </w:p>
        </w:tc>
      </w:tr>
      <w:tr w14:paraId="2B749D2A">
        <w:tblPrEx>
          <w:tblCellMar>
            <w:top w:w="0" w:type="dxa"/>
            <w:left w:w="108" w:type="dxa"/>
            <w:bottom w:w="0" w:type="dxa"/>
            <w:right w:w="108" w:type="dxa"/>
          </w:tblCellMar>
        </w:tblPrEx>
        <w:tc>
          <w:tcPr>
            <w:tcW w:w="8528" w:type="dxa"/>
          </w:tcPr>
          <w:p w14:paraId="047988DA">
            <w:pPr>
              <w:spacing w:line="240" w:lineRule="atLeast"/>
            </w:pPr>
            <w:r>
              <w:drawing>
                <wp:inline distT="0" distB="0" distL="0" distR="0">
                  <wp:extent cx="2724150" cy="654050"/>
                  <wp:effectExtent l="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724150" cy="654050"/>
                          </a:xfrm>
                          <a:prstGeom prst="rect">
                            <a:avLst/>
                          </a:prstGeom>
                          <a:noFill/>
                          <a:ln>
                            <a:noFill/>
                          </a:ln>
                        </pic:spPr>
                      </pic:pic>
                    </a:graphicData>
                  </a:graphic>
                </wp:inline>
              </w:drawing>
            </w:r>
            <w:r>
              <w:drawing>
                <wp:inline distT="0" distB="0" distL="0" distR="0">
                  <wp:extent cx="2387600" cy="654050"/>
                  <wp:effectExtent l="0" t="0" r="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387600" cy="654050"/>
                          </a:xfrm>
                          <a:prstGeom prst="rect">
                            <a:avLst/>
                          </a:prstGeom>
                          <a:noFill/>
                          <a:ln>
                            <a:noFill/>
                          </a:ln>
                        </pic:spPr>
                      </pic:pic>
                    </a:graphicData>
                  </a:graphic>
                </wp:inline>
              </w:drawing>
            </w:r>
          </w:p>
        </w:tc>
      </w:tr>
    </w:tbl>
    <w:p w14:paraId="48E13258">
      <w:pPr>
        <w:spacing w:line="360" w:lineRule="auto"/>
        <w:ind w:firstLine="480" w:firstLineChars="200"/>
        <w:rPr>
          <w:rFonts w:ascii="宋体"/>
          <w:kern w:val="0"/>
          <w:sz w:val="24"/>
        </w:rPr>
      </w:pPr>
      <w:r>
        <w:rPr>
          <w:rFonts w:hint="eastAsia" w:ascii="宋体"/>
          <w:kern w:val="0"/>
          <w:sz w:val="24"/>
        </w:rPr>
        <w:t>因此，对于湿热、亚湿热的沿海地区及一般地区，选用+5℃～40℃的试验条件，而对于冬季冰冻环境，根据其极限环境，选用-10℃～40℃的试验条件。具体如下表：</w:t>
      </w:r>
    </w:p>
    <w:tbl>
      <w:tblPr>
        <w:tblStyle w:val="9"/>
        <w:tblW w:w="8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85" w:type="dxa"/>
          <w:bottom w:w="0" w:type="dxa"/>
          <w:right w:w="85" w:type="dxa"/>
        </w:tblCellMar>
      </w:tblPr>
      <w:tblGrid>
        <w:gridCol w:w="2591"/>
        <w:gridCol w:w="2457"/>
        <w:gridCol w:w="3018"/>
      </w:tblGrid>
      <w:tr w14:paraId="285A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5" w:hRule="atLeast"/>
          <w:jc w:val="center"/>
        </w:trPr>
        <w:tc>
          <w:tcPr>
            <w:tcW w:w="2591" w:type="dxa"/>
            <w:noWrap/>
            <w:vAlign w:val="center"/>
          </w:tcPr>
          <w:p w14:paraId="5D8DACA6">
            <w:pPr>
              <w:widowControl/>
              <w:spacing w:after="156" w:afterLines="50" w:line="360" w:lineRule="exact"/>
              <w:jc w:val="center"/>
              <w:rPr>
                <w:rFonts w:ascii="宋体" w:hAnsi="宋体"/>
                <w:sz w:val="18"/>
                <w:szCs w:val="18"/>
              </w:rPr>
            </w:pPr>
            <w:r>
              <w:rPr>
                <w:rFonts w:hint="eastAsia" w:ascii="宋体" w:hAnsi="宋体"/>
                <w:sz w:val="18"/>
                <w:szCs w:val="18"/>
              </w:rPr>
              <w:t>沿海环境</w:t>
            </w:r>
          </w:p>
        </w:tc>
        <w:tc>
          <w:tcPr>
            <w:tcW w:w="2457" w:type="dxa"/>
            <w:vAlign w:val="center"/>
          </w:tcPr>
          <w:p w14:paraId="78E5211B">
            <w:pPr>
              <w:widowControl/>
              <w:spacing w:after="156" w:afterLines="50" w:line="360" w:lineRule="exact"/>
              <w:jc w:val="center"/>
              <w:rPr>
                <w:rFonts w:ascii="宋体" w:hAnsi="宋体"/>
                <w:sz w:val="18"/>
                <w:szCs w:val="18"/>
              </w:rPr>
            </w:pPr>
            <w:r>
              <w:rPr>
                <w:rFonts w:hint="eastAsia" w:ascii="宋体" w:hAnsi="宋体"/>
                <w:sz w:val="18"/>
                <w:szCs w:val="18"/>
              </w:rPr>
              <w:t>冬季冰冻环境</w:t>
            </w:r>
          </w:p>
        </w:tc>
        <w:tc>
          <w:tcPr>
            <w:tcW w:w="3018" w:type="dxa"/>
            <w:vAlign w:val="center"/>
          </w:tcPr>
          <w:p w14:paraId="7587C80D">
            <w:pPr>
              <w:widowControl/>
              <w:spacing w:after="156" w:afterLines="50" w:line="360" w:lineRule="exact"/>
              <w:jc w:val="center"/>
              <w:rPr>
                <w:rFonts w:ascii="宋体" w:hAnsi="宋体"/>
                <w:sz w:val="18"/>
                <w:szCs w:val="18"/>
              </w:rPr>
            </w:pPr>
            <w:r>
              <w:rPr>
                <w:rFonts w:hint="eastAsia" w:ascii="宋体" w:hAnsi="宋体"/>
                <w:sz w:val="18"/>
                <w:szCs w:val="18"/>
              </w:rPr>
              <w:t>一般环境</w:t>
            </w:r>
          </w:p>
        </w:tc>
      </w:tr>
      <w:tr w14:paraId="0617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14" w:hRule="atLeast"/>
          <w:jc w:val="center"/>
        </w:trPr>
        <w:tc>
          <w:tcPr>
            <w:tcW w:w="2591" w:type="dxa"/>
            <w:noWrap/>
            <w:vAlign w:val="center"/>
          </w:tcPr>
          <w:p w14:paraId="13F27E7E">
            <w:pPr>
              <w:spacing w:after="156" w:afterLines="50" w:line="360" w:lineRule="exact"/>
              <w:ind w:left="10"/>
              <w:jc w:val="center"/>
              <w:rPr>
                <w:rFonts w:ascii="宋体" w:hAnsi="宋体"/>
                <w:sz w:val="18"/>
                <w:szCs w:val="18"/>
              </w:rPr>
            </w:pPr>
            <w:r>
              <w:rPr>
                <w:rFonts w:hint="eastAsia" w:ascii="宋体" w:hAnsi="宋体"/>
                <w:sz w:val="18"/>
                <w:szCs w:val="18"/>
              </w:rPr>
              <w:t>GB/T 2423.22试验Nb</w:t>
            </w:r>
            <w:r>
              <w:rPr>
                <w:rFonts w:ascii="宋体" w:hAnsi="宋体"/>
                <w:sz w:val="18"/>
                <w:szCs w:val="18"/>
              </w:rPr>
              <w:br w:type="textWrapping"/>
            </w:r>
            <w:r>
              <w:rPr>
                <w:rFonts w:hint="eastAsia" w:ascii="宋体" w:hAnsi="宋体"/>
                <w:sz w:val="18"/>
                <w:szCs w:val="18"/>
              </w:rPr>
              <w:t xml:space="preserve">高温条件：40℃, </w:t>
            </w:r>
            <w:r>
              <w:rPr>
                <w:rFonts w:hint="eastAsia" w:ascii="宋体" w:hAnsi="宋体"/>
                <w:sz w:val="18"/>
                <w:szCs w:val="18"/>
              </w:rPr>
              <w:br w:type="textWrapping"/>
            </w:r>
            <w:r>
              <w:rPr>
                <w:rFonts w:hint="eastAsia" w:ascii="宋体" w:hAnsi="宋体"/>
                <w:sz w:val="18"/>
                <w:szCs w:val="18"/>
              </w:rPr>
              <w:t>低温条件：5℃,</w:t>
            </w:r>
            <w:r>
              <w:rPr>
                <w:rFonts w:ascii="宋体" w:hAnsi="宋体"/>
                <w:sz w:val="18"/>
                <w:szCs w:val="18"/>
              </w:rPr>
              <w:t xml:space="preserve"> </w:t>
            </w:r>
            <w:r>
              <w:rPr>
                <w:rFonts w:ascii="宋体" w:hAnsi="宋体"/>
                <w:sz w:val="18"/>
                <w:szCs w:val="18"/>
              </w:rPr>
              <w:br w:type="textWrapping"/>
            </w:r>
            <w:r>
              <w:rPr>
                <w:rFonts w:hint="eastAsia" w:ascii="宋体" w:hAnsi="宋体"/>
                <w:sz w:val="18"/>
                <w:szCs w:val="18"/>
              </w:rPr>
              <w:t>温度变化速率1℃/min，持续暴露时间</w:t>
            </w:r>
            <w:r>
              <w:rPr>
                <w:rFonts w:hint="eastAsia" w:ascii="宋体" w:hAnsi="宋体"/>
                <w:i/>
                <w:sz w:val="18"/>
                <w:szCs w:val="18"/>
              </w:rPr>
              <w:t>t</w:t>
            </w:r>
            <w:r>
              <w:rPr>
                <w:rFonts w:hint="eastAsia" w:ascii="宋体" w:hAnsi="宋体"/>
                <w:sz w:val="18"/>
                <w:szCs w:val="18"/>
                <w:vertAlign w:val="subscript"/>
              </w:rPr>
              <w:t>1</w:t>
            </w:r>
            <w:r>
              <w:rPr>
                <w:rFonts w:hint="eastAsia" w:ascii="宋体" w:hAnsi="宋体"/>
                <w:sz w:val="18"/>
                <w:szCs w:val="18"/>
              </w:rPr>
              <w:t>=3h，</w:t>
            </w:r>
            <w:r>
              <w:rPr>
                <w:rFonts w:ascii="宋体" w:hAnsi="宋体"/>
                <w:sz w:val="18"/>
                <w:szCs w:val="18"/>
              </w:rPr>
              <w:br w:type="textWrapping"/>
            </w:r>
            <w:r>
              <w:rPr>
                <w:rFonts w:hint="eastAsia" w:ascii="宋体" w:hAnsi="宋体"/>
                <w:sz w:val="18"/>
                <w:szCs w:val="18"/>
              </w:rPr>
              <w:t>两个循环</w:t>
            </w:r>
          </w:p>
        </w:tc>
        <w:tc>
          <w:tcPr>
            <w:tcW w:w="2457" w:type="dxa"/>
            <w:noWrap/>
            <w:vAlign w:val="center"/>
          </w:tcPr>
          <w:p w14:paraId="7D4B1158">
            <w:pPr>
              <w:spacing w:after="156" w:afterLines="50" w:line="360" w:lineRule="exact"/>
              <w:ind w:left="10"/>
              <w:jc w:val="center"/>
              <w:rPr>
                <w:rFonts w:ascii="宋体" w:hAnsi="宋体"/>
                <w:sz w:val="18"/>
                <w:szCs w:val="18"/>
              </w:rPr>
            </w:pPr>
            <w:r>
              <w:rPr>
                <w:rFonts w:hint="eastAsia" w:ascii="宋体" w:hAnsi="宋体"/>
                <w:sz w:val="18"/>
                <w:szCs w:val="18"/>
              </w:rPr>
              <w:t>GB/T 2423.22试验Nb</w:t>
            </w:r>
            <w:r>
              <w:rPr>
                <w:rFonts w:ascii="宋体" w:hAnsi="宋体"/>
                <w:sz w:val="18"/>
                <w:szCs w:val="18"/>
              </w:rPr>
              <w:br w:type="textWrapping"/>
            </w:r>
            <w:r>
              <w:rPr>
                <w:rFonts w:hint="eastAsia" w:ascii="宋体" w:hAnsi="宋体"/>
                <w:sz w:val="18"/>
                <w:szCs w:val="18"/>
              </w:rPr>
              <w:t>高温条件：40℃,</w:t>
            </w:r>
            <w:r>
              <w:rPr>
                <w:rFonts w:hint="eastAsia" w:ascii="宋体" w:hAnsi="宋体"/>
                <w:sz w:val="18"/>
                <w:szCs w:val="18"/>
              </w:rPr>
              <w:br w:type="textWrapping"/>
            </w:r>
            <w:r>
              <w:rPr>
                <w:rFonts w:hint="eastAsia" w:ascii="宋体" w:hAnsi="宋体"/>
                <w:b/>
                <w:sz w:val="18"/>
                <w:szCs w:val="18"/>
              </w:rPr>
              <w:t>低温条件：-10℃</w:t>
            </w:r>
            <w:r>
              <w:rPr>
                <w:rFonts w:hint="eastAsia" w:ascii="宋体" w:hAnsi="宋体"/>
                <w:sz w:val="18"/>
                <w:szCs w:val="18"/>
              </w:rPr>
              <w:t>,</w:t>
            </w:r>
            <w:r>
              <w:rPr>
                <w:rFonts w:ascii="宋体" w:hAnsi="宋体"/>
                <w:sz w:val="18"/>
                <w:szCs w:val="18"/>
              </w:rPr>
              <w:t xml:space="preserve"> </w:t>
            </w:r>
            <w:r>
              <w:rPr>
                <w:rFonts w:ascii="宋体" w:hAnsi="宋体"/>
                <w:sz w:val="18"/>
                <w:szCs w:val="18"/>
              </w:rPr>
              <w:br w:type="textWrapping"/>
            </w:r>
            <w:r>
              <w:rPr>
                <w:rFonts w:hint="eastAsia" w:ascii="宋体" w:hAnsi="宋体"/>
                <w:sz w:val="18"/>
                <w:szCs w:val="18"/>
              </w:rPr>
              <w:t>温度变化速率1℃/min，</w:t>
            </w:r>
            <w:r>
              <w:rPr>
                <w:rFonts w:ascii="宋体" w:hAnsi="宋体"/>
                <w:sz w:val="18"/>
                <w:szCs w:val="18"/>
              </w:rPr>
              <w:br w:type="textWrapping"/>
            </w:r>
            <w:r>
              <w:rPr>
                <w:rFonts w:hint="eastAsia" w:ascii="宋体" w:hAnsi="宋体"/>
                <w:sz w:val="18"/>
                <w:szCs w:val="18"/>
              </w:rPr>
              <w:t>持续暴露时间</w:t>
            </w:r>
            <w:r>
              <w:rPr>
                <w:rFonts w:hint="eastAsia" w:ascii="宋体" w:hAnsi="宋体"/>
                <w:i/>
                <w:sz w:val="18"/>
                <w:szCs w:val="18"/>
              </w:rPr>
              <w:t>t</w:t>
            </w:r>
            <w:r>
              <w:rPr>
                <w:rFonts w:hint="eastAsia" w:ascii="宋体" w:hAnsi="宋体"/>
                <w:sz w:val="18"/>
                <w:szCs w:val="18"/>
                <w:vertAlign w:val="subscript"/>
              </w:rPr>
              <w:t>1</w:t>
            </w:r>
            <w:r>
              <w:rPr>
                <w:rFonts w:hint="eastAsia" w:ascii="宋体" w:hAnsi="宋体"/>
                <w:sz w:val="18"/>
                <w:szCs w:val="18"/>
              </w:rPr>
              <w:t>=3h，</w:t>
            </w:r>
            <w:r>
              <w:rPr>
                <w:rFonts w:ascii="宋体" w:hAnsi="宋体"/>
                <w:sz w:val="18"/>
                <w:szCs w:val="18"/>
              </w:rPr>
              <w:br w:type="textWrapping"/>
            </w:r>
            <w:r>
              <w:rPr>
                <w:rFonts w:hint="eastAsia" w:ascii="宋体" w:hAnsi="宋体"/>
                <w:sz w:val="18"/>
                <w:szCs w:val="18"/>
              </w:rPr>
              <w:t>两个循环</w:t>
            </w:r>
          </w:p>
        </w:tc>
        <w:tc>
          <w:tcPr>
            <w:tcW w:w="3018" w:type="dxa"/>
            <w:vAlign w:val="center"/>
          </w:tcPr>
          <w:p w14:paraId="61906402">
            <w:pPr>
              <w:spacing w:after="156" w:afterLines="50" w:line="360" w:lineRule="exact"/>
              <w:ind w:left="10"/>
              <w:jc w:val="center"/>
              <w:rPr>
                <w:rFonts w:ascii="宋体" w:hAnsi="宋体"/>
                <w:sz w:val="18"/>
                <w:szCs w:val="18"/>
              </w:rPr>
            </w:pPr>
            <w:r>
              <w:rPr>
                <w:rFonts w:hint="eastAsia" w:ascii="宋体" w:hAnsi="宋体"/>
                <w:sz w:val="18"/>
                <w:szCs w:val="18"/>
              </w:rPr>
              <w:t>GB/T 2423.22方法2</w:t>
            </w:r>
            <w:r>
              <w:rPr>
                <w:rFonts w:ascii="宋体" w:hAnsi="宋体"/>
                <w:sz w:val="18"/>
                <w:szCs w:val="18"/>
              </w:rPr>
              <w:br w:type="textWrapping"/>
            </w:r>
            <w:r>
              <w:rPr>
                <w:rFonts w:hint="eastAsia" w:ascii="宋体" w:hAnsi="宋体"/>
                <w:sz w:val="18"/>
                <w:szCs w:val="18"/>
              </w:rPr>
              <w:t xml:space="preserve">高温条件：40℃, </w:t>
            </w:r>
            <w:r>
              <w:rPr>
                <w:rFonts w:hint="eastAsia" w:ascii="宋体" w:hAnsi="宋体"/>
                <w:sz w:val="18"/>
                <w:szCs w:val="18"/>
              </w:rPr>
              <w:br w:type="textWrapping"/>
            </w:r>
            <w:r>
              <w:rPr>
                <w:rFonts w:hint="eastAsia" w:ascii="宋体" w:hAnsi="宋体"/>
                <w:sz w:val="18"/>
                <w:szCs w:val="18"/>
              </w:rPr>
              <w:t>低温条件：5℃,</w:t>
            </w:r>
            <w:r>
              <w:rPr>
                <w:rFonts w:ascii="宋体" w:hAnsi="宋体"/>
                <w:sz w:val="18"/>
                <w:szCs w:val="18"/>
              </w:rPr>
              <w:t xml:space="preserve"> </w:t>
            </w:r>
            <w:r>
              <w:rPr>
                <w:rFonts w:ascii="宋体" w:hAnsi="宋体"/>
                <w:sz w:val="18"/>
                <w:szCs w:val="18"/>
              </w:rPr>
              <w:br w:type="textWrapping"/>
            </w:r>
            <w:r>
              <w:rPr>
                <w:rFonts w:hint="eastAsia" w:ascii="宋体" w:hAnsi="宋体"/>
                <w:sz w:val="18"/>
                <w:szCs w:val="18"/>
              </w:rPr>
              <w:t>温度变化速率1℃/min，</w:t>
            </w:r>
            <w:r>
              <w:rPr>
                <w:rFonts w:ascii="宋体" w:hAnsi="宋体"/>
                <w:sz w:val="18"/>
                <w:szCs w:val="18"/>
              </w:rPr>
              <w:br w:type="textWrapping"/>
            </w:r>
            <w:r>
              <w:rPr>
                <w:rFonts w:hint="eastAsia" w:ascii="宋体" w:hAnsi="宋体"/>
                <w:sz w:val="18"/>
                <w:szCs w:val="18"/>
              </w:rPr>
              <w:t>持续暴露时间</w:t>
            </w:r>
            <w:r>
              <w:rPr>
                <w:rFonts w:hint="eastAsia" w:ascii="宋体" w:hAnsi="宋体"/>
                <w:i/>
                <w:sz w:val="18"/>
                <w:szCs w:val="18"/>
              </w:rPr>
              <w:t>t</w:t>
            </w:r>
            <w:r>
              <w:rPr>
                <w:rFonts w:hint="eastAsia" w:ascii="宋体" w:hAnsi="宋体"/>
                <w:sz w:val="18"/>
                <w:szCs w:val="18"/>
                <w:vertAlign w:val="subscript"/>
              </w:rPr>
              <w:t>1</w:t>
            </w:r>
            <w:r>
              <w:rPr>
                <w:rFonts w:hint="eastAsia" w:ascii="宋体" w:hAnsi="宋体"/>
                <w:sz w:val="18"/>
                <w:szCs w:val="18"/>
              </w:rPr>
              <w:t>=3h，</w:t>
            </w:r>
            <w:r>
              <w:rPr>
                <w:rFonts w:ascii="宋体" w:hAnsi="宋体"/>
                <w:sz w:val="18"/>
                <w:szCs w:val="18"/>
              </w:rPr>
              <w:br w:type="textWrapping"/>
            </w:r>
            <w:r>
              <w:rPr>
                <w:rFonts w:hint="eastAsia" w:ascii="宋体" w:hAnsi="宋体"/>
                <w:sz w:val="18"/>
                <w:szCs w:val="18"/>
              </w:rPr>
              <w:t>两个循环</w:t>
            </w:r>
          </w:p>
        </w:tc>
      </w:tr>
    </w:tbl>
    <w:p w14:paraId="1354FDA6">
      <w:pPr>
        <w:spacing w:line="360" w:lineRule="auto"/>
        <w:ind w:firstLine="480" w:firstLineChars="200"/>
        <w:rPr>
          <w:rFonts w:ascii="宋体"/>
          <w:kern w:val="0"/>
          <w:sz w:val="24"/>
        </w:rPr>
      </w:pPr>
    </w:p>
    <w:p w14:paraId="648D9992">
      <w:pPr>
        <w:numPr>
          <w:ilvl w:val="0"/>
          <w:numId w:val="8"/>
        </w:numPr>
        <w:spacing w:line="360" w:lineRule="auto"/>
        <w:rPr>
          <w:rFonts w:ascii="宋体"/>
          <w:kern w:val="0"/>
          <w:sz w:val="24"/>
        </w:rPr>
      </w:pPr>
      <w:r>
        <w:rPr>
          <w:rFonts w:hint="eastAsia" w:ascii="宋体"/>
          <w:kern w:val="0"/>
          <w:sz w:val="24"/>
        </w:rPr>
        <w:t>太阳辐射试验</w:t>
      </w:r>
    </w:p>
    <w:p w14:paraId="74BDE0EE">
      <w:pPr>
        <w:spacing w:line="360" w:lineRule="auto"/>
        <w:ind w:firstLine="480" w:firstLineChars="200"/>
        <w:rPr>
          <w:rFonts w:ascii="宋体"/>
          <w:kern w:val="0"/>
          <w:sz w:val="24"/>
        </w:rPr>
      </w:pPr>
      <w:r>
        <w:rPr>
          <w:rFonts w:hint="eastAsia" w:ascii="宋体"/>
          <w:kern w:val="0"/>
          <w:sz w:val="24"/>
        </w:rPr>
        <w:t>太阳辐射试验，参考</w:t>
      </w:r>
      <w:r>
        <w:rPr>
          <w:rFonts w:ascii="宋体"/>
          <w:kern w:val="0"/>
          <w:sz w:val="24"/>
        </w:rPr>
        <w:t>IEC 62052-11</w:t>
      </w:r>
      <w:r>
        <w:rPr>
          <w:rFonts w:hint="eastAsia" w:ascii="宋体"/>
          <w:kern w:val="0"/>
          <w:sz w:val="24"/>
        </w:rPr>
        <w:t>：2020《电力计量设备 一般要求、试验和试验条件 第11部分：计量设备》的8.4节</w:t>
      </w:r>
    </w:p>
    <w:p w14:paraId="0A85F2AE">
      <w:pPr>
        <w:spacing w:line="360" w:lineRule="auto"/>
        <w:rPr>
          <w:rFonts w:ascii="宋体"/>
          <w:kern w:val="0"/>
          <w:sz w:val="24"/>
        </w:rPr>
      </w:pPr>
      <w:r>
        <w:drawing>
          <wp:inline distT="0" distB="0" distL="0" distR="0">
            <wp:extent cx="5486400" cy="1689100"/>
            <wp:effectExtent l="0" t="0" r="0" b="635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486400" cy="1689100"/>
                    </a:xfrm>
                    <a:prstGeom prst="rect">
                      <a:avLst/>
                    </a:prstGeom>
                    <a:noFill/>
                    <a:ln>
                      <a:noFill/>
                    </a:ln>
                  </pic:spPr>
                </pic:pic>
              </a:graphicData>
            </a:graphic>
          </wp:inline>
        </w:drawing>
      </w:r>
    </w:p>
    <w:p w14:paraId="3212B540">
      <w:pPr>
        <w:spacing w:line="360" w:lineRule="auto"/>
        <w:ind w:firstLine="480" w:firstLineChars="200"/>
        <w:rPr>
          <w:rFonts w:ascii="宋体" w:hAnsi="宋体"/>
          <w:sz w:val="24"/>
          <w:szCs w:val="18"/>
        </w:rPr>
      </w:pPr>
      <w:r>
        <w:rPr>
          <w:rFonts w:hint="eastAsia" w:ascii="宋体"/>
          <w:kern w:val="0"/>
          <w:sz w:val="24"/>
        </w:rPr>
        <w:t>其中IEC 60068-2-5即对应GB/T 2423.24的试验Sa，选用其中的方法A，即8h光照+16h黑暗的循环，其中光照强度为1120</w:t>
      </w:r>
      <w:r>
        <w:rPr>
          <w:rFonts w:hint="eastAsia" w:ascii="宋体" w:hAnsi="宋体"/>
          <w:sz w:val="18"/>
          <w:szCs w:val="18"/>
        </w:rPr>
        <w:t xml:space="preserve"> </w:t>
      </w:r>
      <w:r>
        <w:rPr>
          <w:rFonts w:hint="eastAsia" w:ascii="宋体" w:hAnsi="宋体"/>
          <w:sz w:val="24"/>
          <w:szCs w:val="18"/>
        </w:rPr>
        <w:t>W/m</w:t>
      </w:r>
      <w:r>
        <w:rPr>
          <w:rFonts w:hint="eastAsia" w:ascii="宋体" w:hAnsi="宋体"/>
          <w:sz w:val="24"/>
          <w:szCs w:val="18"/>
          <w:vertAlign w:val="superscript"/>
        </w:rPr>
        <w:t>2</w:t>
      </w:r>
      <w:r>
        <w:rPr>
          <w:rFonts w:hint="eastAsia" w:ascii="宋体" w:hAnsi="宋体"/>
          <w:sz w:val="24"/>
          <w:szCs w:val="18"/>
        </w:rPr>
        <w:t>，试验箱内空气温度选用55℃，试验循环为3个循环（对应72h）。</w:t>
      </w:r>
    </w:p>
    <w:p w14:paraId="692BDA88">
      <w:pPr>
        <w:spacing w:line="360" w:lineRule="auto"/>
        <w:ind w:firstLine="480" w:firstLineChars="200"/>
        <w:rPr>
          <w:rFonts w:ascii="宋体"/>
          <w:kern w:val="0"/>
          <w:sz w:val="24"/>
        </w:rPr>
      </w:pPr>
    </w:p>
    <w:p w14:paraId="54977C2D">
      <w:pPr>
        <w:numPr>
          <w:ilvl w:val="0"/>
          <w:numId w:val="8"/>
        </w:numPr>
        <w:spacing w:line="360" w:lineRule="auto"/>
        <w:rPr>
          <w:rFonts w:ascii="宋体"/>
          <w:kern w:val="0"/>
          <w:sz w:val="24"/>
        </w:rPr>
      </w:pPr>
      <w:r>
        <w:rPr>
          <w:rFonts w:hint="eastAsia" w:ascii="宋体"/>
          <w:kern w:val="0"/>
          <w:sz w:val="24"/>
        </w:rPr>
        <w:t>盐雾试验</w:t>
      </w:r>
    </w:p>
    <w:p w14:paraId="596F1865">
      <w:pPr>
        <w:spacing w:line="360" w:lineRule="auto"/>
        <w:ind w:firstLine="480" w:firstLineChars="200"/>
        <w:rPr>
          <w:rFonts w:ascii="宋体"/>
          <w:kern w:val="0"/>
          <w:sz w:val="24"/>
        </w:rPr>
      </w:pPr>
      <w:r>
        <w:rPr>
          <w:rFonts w:hint="eastAsia" w:ascii="宋体"/>
          <w:kern w:val="0"/>
          <w:sz w:val="24"/>
        </w:rPr>
        <w:t>针对对于沿海环境使用的样品，除了按照按序开展“温度变化试验</w:t>
      </w:r>
      <w:r>
        <w:rPr>
          <w:rFonts w:ascii="宋体"/>
          <w:kern w:val="0"/>
          <w:sz w:val="24"/>
        </w:rPr>
        <w:sym w:font="Wingdings" w:char="F0E0"/>
      </w:r>
      <w:r>
        <w:rPr>
          <w:rFonts w:hint="eastAsia" w:ascii="宋体"/>
          <w:kern w:val="0"/>
          <w:sz w:val="24"/>
        </w:rPr>
        <w:t>湿热试验</w:t>
      </w:r>
      <w:r>
        <w:rPr>
          <w:rFonts w:ascii="宋体"/>
          <w:kern w:val="0"/>
          <w:sz w:val="24"/>
        </w:rPr>
        <w:sym w:font="Wingdings" w:char="F0E0"/>
      </w:r>
      <w:r>
        <w:rPr>
          <w:rFonts w:hint="eastAsia" w:ascii="宋体"/>
          <w:kern w:val="0"/>
          <w:sz w:val="24"/>
        </w:rPr>
        <w:t>太阳辐射试验”外，还需补充附加的盐雾试验。</w:t>
      </w:r>
    </w:p>
    <w:p w14:paraId="432F42BF">
      <w:pPr>
        <w:spacing w:line="360" w:lineRule="auto"/>
        <w:ind w:firstLine="480" w:firstLineChars="200"/>
        <w:rPr>
          <w:rFonts w:ascii="宋体"/>
          <w:kern w:val="0"/>
          <w:sz w:val="24"/>
        </w:rPr>
      </w:pPr>
      <w:r>
        <w:rPr>
          <w:rFonts w:hint="eastAsia" w:ascii="宋体"/>
          <w:kern w:val="0"/>
          <w:sz w:val="24"/>
        </w:rPr>
        <w:t>其中，试验条件根据GB/T 2423.18-2021进行选择，标准附录A中叙述，在近海或海洋环境中建议在方法1和2当中选择，其中，试验方法1宜用于试验在寿命期间大部分时间内暴露于这种环境的产品；试验方法2宜用于可能经常暴露于海洋环境,但通常会受遮蔽物保护的产品。电能表会受到一定的遮蔽物保护，因此</w:t>
      </w:r>
      <w:r>
        <w:rPr>
          <w:rFonts w:hint="eastAsia" w:ascii="宋体"/>
          <w:b/>
          <w:kern w:val="0"/>
          <w:sz w:val="24"/>
        </w:rPr>
        <w:t>选择方法2</w:t>
      </w:r>
      <w:r>
        <w:rPr>
          <w:rFonts w:hint="eastAsia" w:ascii="宋体"/>
          <w:kern w:val="0"/>
          <w:sz w:val="24"/>
        </w:rPr>
        <w:t>，如下表。</w:t>
      </w:r>
    </w:p>
    <w:p w14:paraId="3F885AD2">
      <w:pPr>
        <w:spacing w:line="360" w:lineRule="auto"/>
        <w:rPr>
          <w:rFonts w:ascii="宋体"/>
          <w:kern w:val="0"/>
          <w:sz w:val="24"/>
        </w:rPr>
      </w:pPr>
      <w:r>
        <w:drawing>
          <wp:inline distT="0" distB="0" distL="0" distR="0">
            <wp:extent cx="5486400" cy="1670050"/>
            <wp:effectExtent l="0" t="0" r="0" b="635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486400" cy="1670050"/>
                    </a:xfrm>
                    <a:prstGeom prst="rect">
                      <a:avLst/>
                    </a:prstGeom>
                    <a:noFill/>
                    <a:ln>
                      <a:noFill/>
                    </a:ln>
                  </pic:spPr>
                </pic:pic>
              </a:graphicData>
            </a:graphic>
          </wp:inline>
        </w:drawing>
      </w:r>
    </w:p>
    <w:p w14:paraId="66131627">
      <w:pPr>
        <w:spacing w:line="360" w:lineRule="auto"/>
        <w:ind w:firstLine="480" w:firstLineChars="200"/>
        <w:rPr>
          <w:rFonts w:ascii="宋体"/>
          <w:kern w:val="0"/>
          <w:sz w:val="24"/>
        </w:rPr>
      </w:pPr>
      <w:r>
        <w:rPr>
          <w:rFonts w:hint="eastAsia" w:ascii="宋体"/>
          <w:kern w:val="0"/>
          <w:sz w:val="24"/>
        </w:rPr>
        <w:t>根据GB/T 2423.18-2021的</w:t>
      </w:r>
      <w:r>
        <w:rPr>
          <w:rFonts w:ascii="宋体"/>
          <w:kern w:val="0"/>
          <w:sz w:val="24"/>
        </w:rPr>
        <w:t>9.4.3</w:t>
      </w:r>
      <w:r>
        <w:rPr>
          <w:rFonts w:hint="eastAsia" w:ascii="宋体"/>
          <w:kern w:val="0"/>
          <w:sz w:val="24"/>
        </w:rPr>
        <w:t>中规定，方法2的一个循环是1d：包括在35℃士2K条件下,用盐溶液喷酒试验样品2h；然后在40℃士2K、相对湿度(93士3)%的湿热条件下贮存 22h。循环数为三个循环(3d)。</w:t>
      </w:r>
    </w:p>
    <w:p w14:paraId="1942E0A5">
      <w:pPr>
        <w:spacing w:line="360" w:lineRule="auto"/>
        <w:ind w:firstLine="480" w:firstLineChars="200"/>
        <w:rPr>
          <w:rFonts w:ascii="宋体"/>
          <w:kern w:val="0"/>
          <w:sz w:val="24"/>
        </w:rPr>
      </w:pPr>
    </w:p>
    <w:p w14:paraId="2A0ECEE4">
      <w:pPr>
        <w:spacing w:line="360" w:lineRule="auto"/>
        <w:rPr>
          <w:rFonts w:ascii="宋体"/>
          <w:b/>
          <w:kern w:val="0"/>
          <w:sz w:val="24"/>
        </w:rPr>
      </w:pPr>
      <w:r>
        <w:rPr>
          <w:rFonts w:hint="eastAsia" w:ascii="宋体"/>
          <w:b/>
          <w:kern w:val="0"/>
          <w:sz w:val="24"/>
        </w:rPr>
        <w:t>4</w:t>
      </w:r>
      <w:r>
        <w:rPr>
          <w:rFonts w:ascii="宋体"/>
          <w:b/>
          <w:kern w:val="0"/>
          <w:sz w:val="24"/>
        </w:rPr>
        <w:t xml:space="preserve">. </w:t>
      </w:r>
      <w:r>
        <w:rPr>
          <w:rFonts w:hint="eastAsia" w:ascii="宋体"/>
          <w:b/>
          <w:kern w:val="0"/>
          <w:sz w:val="24"/>
        </w:rPr>
        <w:t>试验验证开展与结果分析</w:t>
      </w:r>
    </w:p>
    <w:p w14:paraId="2711C37F">
      <w:pPr>
        <w:spacing w:line="360" w:lineRule="auto"/>
        <w:ind w:firstLine="480" w:firstLineChars="200"/>
        <w:rPr>
          <w:rFonts w:ascii="宋体"/>
          <w:kern w:val="0"/>
          <w:sz w:val="24"/>
        </w:rPr>
      </w:pPr>
      <w:r>
        <w:rPr>
          <w:rFonts w:hint="eastAsia" w:ascii="宋体"/>
          <w:kern w:val="0"/>
          <w:sz w:val="24"/>
        </w:rPr>
        <w:t>按照标准规定的耐久性试验方法，标准起草工作组组织了电表生产企业、试验检测及计量机构、电表应用机构开展了测试验证试验。</w:t>
      </w:r>
    </w:p>
    <w:p w14:paraId="78CE42F3">
      <w:pPr>
        <w:spacing w:line="360" w:lineRule="auto"/>
        <w:jc w:val="center"/>
        <w:rPr>
          <w:rFonts w:ascii="宋体"/>
          <w:kern w:val="0"/>
          <w:sz w:val="24"/>
        </w:rPr>
      </w:pPr>
      <w:r>
        <w:drawing>
          <wp:inline distT="0" distB="0" distL="0" distR="0">
            <wp:extent cx="2387600" cy="1597660"/>
            <wp:effectExtent l="0" t="0" r="0"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2391365" cy="1600333"/>
                    </a:xfrm>
                    <a:prstGeom prst="rect">
                      <a:avLst/>
                    </a:prstGeom>
                  </pic:spPr>
                </pic:pic>
              </a:graphicData>
            </a:graphic>
          </wp:inline>
        </w:drawing>
      </w:r>
      <w:r>
        <w:rPr>
          <w:rFonts w:hint="eastAsia" w:ascii="宋体"/>
          <w:kern w:val="0"/>
          <w:sz w:val="24"/>
        </w:rPr>
        <w:t xml:space="preserve"> </w:t>
      </w:r>
      <w:r>
        <w:rPr>
          <w:rFonts w:ascii="宋体"/>
          <w:kern w:val="0"/>
          <w:sz w:val="24"/>
        </w:rPr>
        <w:drawing>
          <wp:inline distT="0" distB="0" distL="0" distR="0">
            <wp:extent cx="2139950" cy="1605280"/>
            <wp:effectExtent l="0" t="0" r="0" b="0"/>
            <wp:docPr id="17" name="图片 17" descr="E:\Program Files (x86)\Tencent\WeMeet\xwechat_files\wxid_qivs38xysar821_c0a0\temp\RWTemp\2026-02\fb9668303cdff42870881bea6101b9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Program Files (x86)\Tencent\WeMeet\xwechat_files\wxid_qivs38xysar821_c0a0\temp\RWTemp\2026-02\fb9668303cdff42870881bea6101b9e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145016" cy="1609392"/>
                    </a:xfrm>
                    <a:prstGeom prst="rect">
                      <a:avLst/>
                    </a:prstGeom>
                    <a:noFill/>
                    <a:ln>
                      <a:noFill/>
                    </a:ln>
                  </pic:spPr>
                </pic:pic>
              </a:graphicData>
            </a:graphic>
          </wp:inline>
        </w:drawing>
      </w:r>
    </w:p>
    <w:p w14:paraId="10901DC3">
      <w:pPr>
        <w:spacing w:line="360" w:lineRule="auto"/>
        <w:jc w:val="center"/>
        <w:rPr>
          <w:rFonts w:ascii="宋体"/>
          <w:kern w:val="0"/>
          <w:sz w:val="24"/>
        </w:rPr>
      </w:pPr>
      <w:r>
        <w:rPr>
          <w:rFonts w:hint="eastAsia" w:ascii="宋体"/>
          <w:kern w:val="0"/>
          <w:sz w:val="22"/>
        </w:rPr>
        <w:t>图 电能表在试验箱中开展耐久性试验验证</w:t>
      </w:r>
    </w:p>
    <w:p w14:paraId="6C8C243A">
      <w:pPr>
        <w:spacing w:line="360" w:lineRule="auto"/>
        <w:ind w:firstLine="480" w:firstLineChars="200"/>
        <w:rPr>
          <w:rFonts w:ascii="宋体"/>
          <w:kern w:val="0"/>
          <w:sz w:val="24"/>
        </w:rPr>
      </w:pPr>
      <w:r>
        <w:rPr>
          <w:rFonts w:hint="eastAsia" w:ascii="宋体"/>
          <w:kern w:val="0"/>
          <w:sz w:val="24"/>
        </w:rPr>
        <w:t>过程中对电表进行电性能在线监测以及定期的外观测试，监测记录表格及部分样品的外观检查图片如下：</w:t>
      </w:r>
    </w:p>
    <w:p w14:paraId="2406FEC7">
      <w:pPr>
        <w:spacing w:line="360" w:lineRule="auto"/>
        <w:jc w:val="distribute"/>
        <w:rPr>
          <w:rFonts w:ascii="宋体"/>
          <w:kern w:val="0"/>
          <w:sz w:val="24"/>
        </w:rPr>
      </w:pPr>
      <w:r>
        <w:drawing>
          <wp:inline distT="0" distB="0" distL="0" distR="0">
            <wp:extent cx="1682750" cy="215963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0"/>
                    <a:stretch>
                      <a:fillRect/>
                    </a:stretch>
                  </pic:blipFill>
                  <pic:spPr>
                    <a:xfrm>
                      <a:off x="0" y="0"/>
                      <a:ext cx="1683158" cy="2160000"/>
                    </a:xfrm>
                    <a:prstGeom prst="rect">
                      <a:avLst/>
                    </a:prstGeom>
                  </pic:spPr>
                </pic:pic>
              </a:graphicData>
            </a:graphic>
          </wp:inline>
        </w:drawing>
      </w:r>
      <w:r>
        <w:drawing>
          <wp:inline distT="0" distB="0" distL="0" distR="0">
            <wp:extent cx="1612900" cy="2159635"/>
            <wp:effectExtent l="0" t="0" r="635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1">
                      <a:extLst>
                        <a:ext uri="{BEBA8EAE-BF5A-486C-A8C5-ECC9F3942E4B}">
                          <a14:imgProps xmlns:a14="http://schemas.microsoft.com/office/drawing/2010/main">
                            <a14:imgLayer r:embed="rId22">
                              <a14:imgEffect>
                                <a14:brightnessContrast bright="20000"/>
                              </a14:imgEffect>
                            </a14:imgLayer>
                          </a14:imgProps>
                        </a:ext>
                      </a:extLst>
                    </a:blip>
                    <a:stretch>
                      <a:fillRect/>
                    </a:stretch>
                  </pic:blipFill>
                  <pic:spPr>
                    <a:xfrm>
                      <a:off x="0" y="0"/>
                      <a:ext cx="1613087" cy="2160000"/>
                    </a:xfrm>
                    <a:prstGeom prst="rect">
                      <a:avLst/>
                    </a:prstGeom>
                  </pic:spPr>
                </pic:pic>
              </a:graphicData>
            </a:graphic>
          </wp:inline>
        </w:drawing>
      </w:r>
      <w:r>
        <w:rPr>
          <w:rStyle w:val="12"/>
        </w:rPr>
        <w:drawing>
          <wp:inline distT="0" distB="0" distL="0" distR="0">
            <wp:extent cx="1762125" cy="215963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3">
                      <a:extLst>
                        <a:ext uri="{BEBA8EAE-BF5A-486C-A8C5-ECC9F3942E4B}">
                          <a14:imgProps xmlns:a14="http://schemas.microsoft.com/office/drawing/2010/main">
                            <a14:imgLayer r:embed="rId24">
                              <a14:imgEffect>
                                <a14:brightnessContrast contrast="20000"/>
                              </a14:imgEffect>
                            </a14:imgLayer>
                          </a14:imgProps>
                        </a:ext>
                      </a:extLst>
                    </a:blip>
                    <a:stretch>
                      <a:fillRect/>
                    </a:stretch>
                  </pic:blipFill>
                  <pic:spPr>
                    <a:xfrm>
                      <a:off x="0" y="0"/>
                      <a:ext cx="1762192" cy="2160000"/>
                    </a:xfrm>
                    <a:prstGeom prst="rect">
                      <a:avLst/>
                    </a:prstGeom>
                  </pic:spPr>
                </pic:pic>
              </a:graphicData>
            </a:graphic>
          </wp:inline>
        </w:drawing>
      </w:r>
    </w:p>
    <w:p w14:paraId="2501C9A5">
      <w:pPr>
        <w:spacing w:line="360" w:lineRule="auto"/>
        <w:jc w:val="center"/>
        <w:rPr>
          <w:rFonts w:ascii="宋体"/>
          <w:kern w:val="0"/>
          <w:sz w:val="22"/>
        </w:rPr>
      </w:pPr>
      <w:r>
        <w:rPr>
          <w:rFonts w:hint="eastAsia" w:ascii="宋体"/>
          <w:kern w:val="0"/>
          <w:sz w:val="22"/>
        </w:rPr>
        <w:t>图 电能表耐久性试验外观检查部分照片</w:t>
      </w:r>
    </w:p>
    <w:p w14:paraId="7BC44A10">
      <w:pPr>
        <w:spacing w:line="360" w:lineRule="auto"/>
        <w:jc w:val="distribute"/>
        <w:rPr>
          <w:rFonts w:ascii="宋体"/>
          <w:kern w:val="0"/>
          <w:sz w:val="24"/>
        </w:rPr>
      </w:pPr>
      <w:r>
        <w:drawing>
          <wp:inline distT="0" distB="0" distL="0" distR="0">
            <wp:extent cx="5278120" cy="1421130"/>
            <wp:effectExtent l="0" t="0" r="0" b="762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5"/>
                    <a:stretch>
                      <a:fillRect/>
                    </a:stretch>
                  </pic:blipFill>
                  <pic:spPr>
                    <a:xfrm>
                      <a:off x="0" y="0"/>
                      <a:ext cx="5278120" cy="1421130"/>
                    </a:xfrm>
                    <a:prstGeom prst="rect">
                      <a:avLst/>
                    </a:prstGeom>
                  </pic:spPr>
                </pic:pic>
              </a:graphicData>
            </a:graphic>
          </wp:inline>
        </w:drawing>
      </w:r>
    </w:p>
    <w:p w14:paraId="252ABE00">
      <w:pPr>
        <w:spacing w:line="360" w:lineRule="auto"/>
        <w:jc w:val="center"/>
        <w:rPr>
          <w:rFonts w:ascii="宋体"/>
          <w:kern w:val="0"/>
          <w:sz w:val="22"/>
        </w:rPr>
      </w:pPr>
      <w:r>
        <w:rPr>
          <w:rFonts w:hint="eastAsia" w:ascii="宋体"/>
          <w:kern w:val="0"/>
          <w:sz w:val="22"/>
        </w:rPr>
        <w:t>图 电能表性能监测记录表格</w:t>
      </w:r>
    </w:p>
    <w:sectPr>
      <w:footerReference r:id="rId3" w:type="default"/>
      <w:pgSz w:w="11906" w:h="16838"/>
      <w:pgMar w:top="1440" w:right="1797" w:bottom="1440" w:left="1797" w:header="851" w:footer="73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0BE64">
    <w:pPr>
      <w:pStyle w:val="6"/>
      <w:jc w:val="center"/>
    </w:pPr>
    <w:r>
      <w:rPr>
        <w:rFonts w:hint="eastAsia"/>
      </w:rPr>
      <w:t xml:space="preserve">第 </w:t>
    </w: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r>
      <w:rPr>
        <w:rFonts w:hint="eastAsia"/>
      </w:rPr>
      <w:t xml:space="preserve"> 页</w:t>
    </w:r>
  </w:p>
  <w:p w14:paraId="526D3E1F">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404B76"/>
    <w:multiLevelType w:val="multilevel"/>
    <w:tmpl w:val="0B404B7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E91784D"/>
    <w:multiLevelType w:val="multilevel"/>
    <w:tmpl w:val="0E91784D"/>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64C6B62"/>
    <w:multiLevelType w:val="multilevel"/>
    <w:tmpl w:val="264C6B62"/>
    <w:lvl w:ilvl="0" w:tentative="0">
      <w:start w:val="1"/>
      <w:numFmt w:val="lowerLetter"/>
      <w:lvlText w:val="(%1)"/>
      <w:lvlJc w:val="left"/>
      <w:pPr>
        <w:ind w:left="360" w:hanging="360"/>
      </w:pPr>
      <w:rPr>
        <w:rFonts w:hint="default" w:ascii="Times New Roman"/>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4C50F90"/>
    <w:multiLevelType w:val="multilevel"/>
    <w:tmpl w:val="44C50F90"/>
    <w:lvl w:ilvl="0" w:tentative="0">
      <w:start w:val="1"/>
      <w:numFmt w:val="lowerLetter"/>
      <w:pStyle w:val="27"/>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49E64BB6"/>
    <w:multiLevelType w:val="multilevel"/>
    <w:tmpl w:val="49E64BB6"/>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CEA2025"/>
    <w:multiLevelType w:val="multilevel"/>
    <w:tmpl w:val="6CEA2025"/>
    <w:lvl w:ilvl="0" w:tentative="0">
      <w:start w:val="1"/>
      <w:numFmt w:val="none"/>
      <w:pStyle w:val="14"/>
      <w:suff w:val="nothing"/>
      <w:lvlText w:val="%1"/>
      <w:lvlJc w:val="left"/>
      <w:pPr>
        <w:ind w:left="0" w:firstLine="0"/>
      </w:pPr>
      <w:rPr>
        <w:rFonts w:hint="default" w:ascii="Times New Roman" w:hAnsi="Times New Roman"/>
        <w:b/>
        <w:i w:val="0"/>
        <w:sz w:val="21"/>
      </w:rPr>
    </w:lvl>
    <w:lvl w:ilvl="1" w:tentative="0">
      <w:start w:val="1"/>
      <w:numFmt w:val="decimal"/>
      <w:pStyle w:val="15"/>
      <w:suff w:val="nothing"/>
      <w:lvlText w:val="%1%2　"/>
      <w:lvlJc w:val="left"/>
      <w:pPr>
        <w:ind w:left="0" w:firstLine="0"/>
      </w:pPr>
      <w:rPr>
        <w:rFonts w:hint="eastAsia" w:ascii="黑体" w:hAnsi="Times New Roman" w:eastAsia="黑体"/>
        <w:b w:val="0"/>
        <w:i w:val="0"/>
        <w:sz w:val="21"/>
      </w:rPr>
    </w:lvl>
    <w:lvl w:ilvl="2" w:tentative="0">
      <w:start w:val="1"/>
      <w:numFmt w:val="decimal"/>
      <w:pStyle w:val="16"/>
      <w:suff w:val="nothing"/>
      <w:lvlText w:val="%1%2.%3　"/>
      <w:lvlJc w:val="left"/>
      <w:pPr>
        <w:ind w:left="0" w:firstLine="0"/>
      </w:pPr>
      <w:rPr>
        <w:rFonts w:hint="eastAsia" w:ascii="黑体" w:hAnsi="Times New Roman" w:eastAsia="黑体"/>
        <w:b w:val="0"/>
        <w:i w:val="0"/>
        <w:sz w:val="21"/>
      </w:rPr>
    </w:lvl>
    <w:lvl w:ilvl="3" w:tentative="0">
      <w:start w:val="1"/>
      <w:numFmt w:val="decimal"/>
      <w:pStyle w:val="17"/>
      <w:suff w:val="nothing"/>
      <w:lvlText w:val="%1%2.%3.%4　"/>
      <w:lvlJc w:val="left"/>
      <w:pPr>
        <w:ind w:left="0" w:firstLine="0"/>
      </w:pPr>
      <w:rPr>
        <w:rFonts w:hint="eastAsia" w:ascii="黑体" w:hAnsi="Times New Roman" w:eastAsia="黑体"/>
        <w:b w:val="0"/>
        <w:i w:val="0"/>
        <w:sz w:val="21"/>
      </w:rPr>
    </w:lvl>
    <w:lvl w:ilvl="4" w:tentative="0">
      <w:start w:val="1"/>
      <w:numFmt w:val="decimal"/>
      <w:pStyle w:val="19"/>
      <w:suff w:val="nothing"/>
      <w:lvlText w:val="%1%2.%3.%4.%5　"/>
      <w:lvlJc w:val="left"/>
      <w:pPr>
        <w:ind w:left="0" w:firstLine="0"/>
      </w:pPr>
      <w:rPr>
        <w:rFonts w:hint="eastAsia" w:ascii="黑体" w:hAnsi="Times New Roman" w:eastAsia="黑体"/>
        <w:b w:val="0"/>
        <w:i w:val="0"/>
        <w:sz w:val="21"/>
      </w:rPr>
    </w:lvl>
    <w:lvl w:ilvl="5" w:tentative="0">
      <w:start w:val="1"/>
      <w:numFmt w:val="decimal"/>
      <w:pStyle w:val="20"/>
      <w:suff w:val="nothing"/>
      <w:lvlText w:val="%1%2.%3.%4.%5.%6　"/>
      <w:lvlJc w:val="left"/>
      <w:pPr>
        <w:ind w:left="0" w:firstLine="0"/>
      </w:pPr>
      <w:rPr>
        <w:rFonts w:hint="eastAsia" w:ascii="黑体" w:hAnsi="Times New Roman" w:eastAsia="黑体"/>
        <w:b w:val="0"/>
        <w:i w:val="0"/>
        <w:sz w:val="21"/>
      </w:rPr>
    </w:lvl>
    <w:lvl w:ilvl="6" w:tentative="0">
      <w:start w:val="1"/>
      <w:numFmt w:val="decimal"/>
      <w:pStyle w:val="2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76933334"/>
    <w:multiLevelType w:val="multilevel"/>
    <w:tmpl w:val="76933334"/>
    <w:lvl w:ilvl="0" w:tentative="0">
      <w:start w:val="1"/>
      <w:numFmt w:val="none"/>
      <w:pStyle w:val="23"/>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6"/>
  </w:num>
  <w:num w:numId="3">
    <w:abstractNumId w:val="3"/>
  </w:num>
  <w:num w:numId="4">
    <w:abstractNumId w:val="4"/>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7D4"/>
    <w:rsid w:val="00001219"/>
    <w:rsid w:val="000049AC"/>
    <w:rsid w:val="00007307"/>
    <w:rsid w:val="00033456"/>
    <w:rsid w:val="000342E1"/>
    <w:rsid w:val="00053FAD"/>
    <w:rsid w:val="00071C23"/>
    <w:rsid w:val="00073E89"/>
    <w:rsid w:val="00074EB8"/>
    <w:rsid w:val="00076A04"/>
    <w:rsid w:val="00084255"/>
    <w:rsid w:val="00084E48"/>
    <w:rsid w:val="00085A38"/>
    <w:rsid w:val="00085E59"/>
    <w:rsid w:val="00086795"/>
    <w:rsid w:val="0009397D"/>
    <w:rsid w:val="00094AC8"/>
    <w:rsid w:val="00097D2D"/>
    <w:rsid w:val="000A0916"/>
    <w:rsid w:val="000A2FBA"/>
    <w:rsid w:val="000B0AB5"/>
    <w:rsid w:val="000B1CD0"/>
    <w:rsid w:val="000B447D"/>
    <w:rsid w:val="000B5ECD"/>
    <w:rsid w:val="000C0668"/>
    <w:rsid w:val="000D0EF6"/>
    <w:rsid w:val="000D59FE"/>
    <w:rsid w:val="000E0DFB"/>
    <w:rsid w:val="000E657B"/>
    <w:rsid w:val="000F34BD"/>
    <w:rsid w:val="0010041F"/>
    <w:rsid w:val="00105571"/>
    <w:rsid w:val="00105B4E"/>
    <w:rsid w:val="001100AD"/>
    <w:rsid w:val="0012128A"/>
    <w:rsid w:val="0012336A"/>
    <w:rsid w:val="00135D55"/>
    <w:rsid w:val="00144FDB"/>
    <w:rsid w:val="00156947"/>
    <w:rsid w:val="00173A42"/>
    <w:rsid w:val="00190258"/>
    <w:rsid w:val="001A4668"/>
    <w:rsid w:val="001A5261"/>
    <w:rsid w:val="001A52E6"/>
    <w:rsid w:val="001A5E1B"/>
    <w:rsid w:val="001B1BE3"/>
    <w:rsid w:val="001C1879"/>
    <w:rsid w:val="001E3D87"/>
    <w:rsid w:val="001E7EB4"/>
    <w:rsid w:val="001F7594"/>
    <w:rsid w:val="002000E0"/>
    <w:rsid w:val="00204DE8"/>
    <w:rsid w:val="00206751"/>
    <w:rsid w:val="00207441"/>
    <w:rsid w:val="0020770B"/>
    <w:rsid w:val="00210526"/>
    <w:rsid w:val="002121D2"/>
    <w:rsid w:val="00212CFC"/>
    <w:rsid w:val="00215CD6"/>
    <w:rsid w:val="00215D7E"/>
    <w:rsid w:val="002227EA"/>
    <w:rsid w:val="002334F2"/>
    <w:rsid w:val="002345BE"/>
    <w:rsid w:val="00241CDD"/>
    <w:rsid w:val="00246FAF"/>
    <w:rsid w:val="00247F7E"/>
    <w:rsid w:val="00255823"/>
    <w:rsid w:val="00255C32"/>
    <w:rsid w:val="00260F41"/>
    <w:rsid w:val="00272EF0"/>
    <w:rsid w:val="00292B9C"/>
    <w:rsid w:val="002930A1"/>
    <w:rsid w:val="002A2C83"/>
    <w:rsid w:val="002A642F"/>
    <w:rsid w:val="002A67DF"/>
    <w:rsid w:val="002C105B"/>
    <w:rsid w:val="002C3DF2"/>
    <w:rsid w:val="002C464A"/>
    <w:rsid w:val="002D00D7"/>
    <w:rsid w:val="002D08A6"/>
    <w:rsid w:val="002E3404"/>
    <w:rsid w:val="002E4CB0"/>
    <w:rsid w:val="002F1757"/>
    <w:rsid w:val="0031613F"/>
    <w:rsid w:val="003162E1"/>
    <w:rsid w:val="0032072C"/>
    <w:rsid w:val="00321B64"/>
    <w:rsid w:val="00334505"/>
    <w:rsid w:val="0033542B"/>
    <w:rsid w:val="003427D4"/>
    <w:rsid w:val="00362C97"/>
    <w:rsid w:val="0036317B"/>
    <w:rsid w:val="00367687"/>
    <w:rsid w:val="00371E7D"/>
    <w:rsid w:val="00377006"/>
    <w:rsid w:val="003864BE"/>
    <w:rsid w:val="00390CA2"/>
    <w:rsid w:val="00391DB5"/>
    <w:rsid w:val="003A28ED"/>
    <w:rsid w:val="003A45C6"/>
    <w:rsid w:val="003B0E6E"/>
    <w:rsid w:val="003B66D2"/>
    <w:rsid w:val="003C405A"/>
    <w:rsid w:val="003D2421"/>
    <w:rsid w:val="003D2D9A"/>
    <w:rsid w:val="003D7E9B"/>
    <w:rsid w:val="003E5D96"/>
    <w:rsid w:val="003F4F02"/>
    <w:rsid w:val="00403B9E"/>
    <w:rsid w:val="004110DB"/>
    <w:rsid w:val="00423154"/>
    <w:rsid w:val="004371E2"/>
    <w:rsid w:val="0044327B"/>
    <w:rsid w:val="004532EF"/>
    <w:rsid w:val="0045397C"/>
    <w:rsid w:val="004621AD"/>
    <w:rsid w:val="00466C27"/>
    <w:rsid w:val="00471809"/>
    <w:rsid w:val="004872FC"/>
    <w:rsid w:val="00487992"/>
    <w:rsid w:val="00491C0C"/>
    <w:rsid w:val="00493DD1"/>
    <w:rsid w:val="004A2D5D"/>
    <w:rsid w:val="004A7368"/>
    <w:rsid w:val="004B0D4C"/>
    <w:rsid w:val="004B2365"/>
    <w:rsid w:val="004B3E6C"/>
    <w:rsid w:val="004B6E3D"/>
    <w:rsid w:val="004C01B6"/>
    <w:rsid w:val="004C4421"/>
    <w:rsid w:val="004C7C08"/>
    <w:rsid w:val="004D1348"/>
    <w:rsid w:val="004D224E"/>
    <w:rsid w:val="004D49C5"/>
    <w:rsid w:val="004D71E2"/>
    <w:rsid w:val="004E02B2"/>
    <w:rsid w:val="004E3F89"/>
    <w:rsid w:val="004E45C1"/>
    <w:rsid w:val="004F6569"/>
    <w:rsid w:val="0050126D"/>
    <w:rsid w:val="0050454A"/>
    <w:rsid w:val="00505853"/>
    <w:rsid w:val="0052286C"/>
    <w:rsid w:val="00522E81"/>
    <w:rsid w:val="00550D2F"/>
    <w:rsid w:val="005527C6"/>
    <w:rsid w:val="00552A1B"/>
    <w:rsid w:val="00563130"/>
    <w:rsid w:val="00566A45"/>
    <w:rsid w:val="00572B31"/>
    <w:rsid w:val="00574F7A"/>
    <w:rsid w:val="00575E4F"/>
    <w:rsid w:val="0057638D"/>
    <w:rsid w:val="00577AFE"/>
    <w:rsid w:val="00580BBB"/>
    <w:rsid w:val="00592965"/>
    <w:rsid w:val="00597119"/>
    <w:rsid w:val="005A2971"/>
    <w:rsid w:val="005A5F3E"/>
    <w:rsid w:val="005B15D6"/>
    <w:rsid w:val="005C3022"/>
    <w:rsid w:val="005C7116"/>
    <w:rsid w:val="005D0E0A"/>
    <w:rsid w:val="005D41F6"/>
    <w:rsid w:val="005D7B3B"/>
    <w:rsid w:val="005E4211"/>
    <w:rsid w:val="005E6B06"/>
    <w:rsid w:val="006018C0"/>
    <w:rsid w:val="00602412"/>
    <w:rsid w:val="006079F9"/>
    <w:rsid w:val="006219FD"/>
    <w:rsid w:val="00624421"/>
    <w:rsid w:val="00625D09"/>
    <w:rsid w:val="00634116"/>
    <w:rsid w:val="00641E4A"/>
    <w:rsid w:val="00646A87"/>
    <w:rsid w:val="006506F9"/>
    <w:rsid w:val="00656F93"/>
    <w:rsid w:val="006604FF"/>
    <w:rsid w:val="00666CC0"/>
    <w:rsid w:val="0066791C"/>
    <w:rsid w:val="00672AEF"/>
    <w:rsid w:val="00675FAE"/>
    <w:rsid w:val="006849A6"/>
    <w:rsid w:val="00690E1C"/>
    <w:rsid w:val="006A2270"/>
    <w:rsid w:val="006A3120"/>
    <w:rsid w:val="006A4E58"/>
    <w:rsid w:val="006C07C8"/>
    <w:rsid w:val="006C4009"/>
    <w:rsid w:val="006C536B"/>
    <w:rsid w:val="006D14B2"/>
    <w:rsid w:val="006D7B05"/>
    <w:rsid w:val="006E5137"/>
    <w:rsid w:val="006E7BF8"/>
    <w:rsid w:val="006F7422"/>
    <w:rsid w:val="007014B8"/>
    <w:rsid w:val="007057E7"/>
    <w:rsid w:val="00716B24"/>
    <w:rsid w:val="00725CE0"/>
    <w:rsid w:val="007414E3"/>
    <w:rsid w:val="00745D33"/>
    <w:rsid w:val="00762EB6"/>
    <w:rsid w:val="007640D0"/>
    <w:rsid w:val="007647D4"/>
    <w:rsid w:val="00764D6D"/>
    <w:rsid w:val="007728E2"/>
    <w:rsid w:val="007877F5"/>
    <w:rsid w:val="00794592"/>
    <w:rsid w:val="007A593A"/>
    <w:rsid w:val="007A5AB1"/>
    <w:rsid w:val="007A6CAE"/>
    <w:rsid w:val="007B2A7A"/>
    <w:rsid w:val="007C0D48"/>
    <w:rsid w:val="007D63B6"/>
    <w:rsid w:val="007D6593"/>
    <w:rsid w:val="007E2D35"/>
    <w:rsid w:val="007E3781"/>
    <w:rsid w:val="007E4C8F"/>
    <w:rsid w:val="007F73B6"/>
    <w:rsid w:val="007F7C84"/>
    <w:rsid w:val="00801B6C"/>
    <w:rsid w:val="00802132"/>
    <w:rsid w:val="008102D2"/>
    <w:rsid w:val="0082411B"/>
    <w:rsid w:val="00831B8E"/>
    <w:rsid w:val="00832A4C"/>
    <w:rsid w:val="00833CEC"/>
    <w:rsid w:val="008341BA"/>
    <w:rsid w:val="00834630"/>
    <w:rsid w:val="00841251"/>
    <w:rsid w:val="00841742"/>
    <w:rsid w:val="00846E80"/>
    <w:rsid w:val="008610A5"/>
    <w:rsid w:val="008630EB"/>
    <w:rsid w:val="0087101D"/>
    <w:rsid w:val="00875651"/>
    <w:rsid w:val="00885487"/>
    <w:rsid w:val="00886E01"/>
    <w:rsid w:val="008871F5"/>
    <w:rsid w:val="008904F3"/>
    <w:rsid w:val="0089529D"/>
    <w:rsid w:val="00897638"/>
    <w:rsid w:val="008A601C"/>
    <w:rsid w:val="008A76D1"/>
    <w:rsid w:val="008B03A9"/>
    <w:rsid w:val="008B7065"/>
    <w:rsid w:val="008B7BAB"/>
    <w:rsid w:val="008B7DF4"/>
    <w:rsid w:val="008C5773"/>
    <w:rsid w:val="008D1125"/>
    <w:rsid w:val="008E15D1"/>
    <w:rsid w:val="00905CFE"/>
    <w:rsid w:val="00910E5B"/>
    <w:rsid w:val="0091480A"/>
    <w:rsid w:val="00917320"/>
    <w:rsid w:val="00923465"/>
    <w:rsid w:val="00925C29"/>
    <w:rsid w:val="00927E45"/>
    <w:rsid w:val="00931F66"/>
    <w:rsid w:val="00933C6B"/>
    <w:rsid w:val="00955A09"/>
    <w:rsid w:val="00961C69"/>
    <w:rsid w:val="009625CF"/>
    <w:rsid w:val="00962D1C"/>
    <w:rsid w:val="00962E66"/>
    <w:rsid w:val="00966727"/>
    <w:rsid w:val="0099596F"/>
    <w:rsid w:val="009A069B"/>
    <w:rsid w:val="009A185A"/>
    <w:rsid w:val="009A3ABF"/>
    <w:rsid w:val="009A7147"/>
    <w:rsid w:val="009B1FA4"/>
    <w:rsid w:val="009B2E23"/>
    <w:rsid w:val="009D5A82"/>
    <w:rsid w:val="009D7C51"/>
    <w:rsid w:val="009E32E5"/>
    <w:rsid w:val="009F2E93"/>
    <w:rsid w:val="00A003EE"/>
    <w:rsid w:val="00A037B1"/>
    <w:rsid w:val="00A049AC"/>
    <w:rsid w:val="00A05934"/>
    <w:rsid w:val="00A1677E"/>
    <w:rsid w:val="00A357A9"/>
    <w:rsid w:val="00A35C86"/>
    <w:rsid w:val="00A40EEE"/>
    <w:rsid w:val="00A43CEF"/>
    <w:rsid w:val="00A610D3"/>
    <w:rsid w:val="00A62882"/>
    <w:rsid w:val="00A633D2"/>
    <w:rsid w:val="00A7170C"/>
    <w:rsid w:val="00A7777C"/>
    <w:rsid w:val="00A90E47"/>
    <w:rsid w:val="00A93978"/>
    <w:rsid w:val="00A9448A"/>
    <w:rsid w:val="00A97CF0"/>
    <w:rsid w:val="00AA18B2"/>
    <w:rsid w:val="00AA3B86"/>
    <w:rsid w:val="00AB009B"/>
    <w:rsid w:val="00AB13F8"/>
    <w:rsid w:val="00AD1EC6"/>
    <w:rsid w:val="00AD4878"/>
    <w:rsid w:val="00AD5B9D"/>
    <w:rsid w:val="00AE1637"/>
    <w:rsid w:val="00AE23BA"/>
    <w:rsid w:val="00AE6734"/>
    <w:rsid w:val="00AE6E83"/>
    <w:rsid w:val="00AE7A01"/>
    <w:rsid w:val="00AF26DE"/>
    <w:rsid w:val="00AF3657"/>
    <w:rsid w:val="00AF5404"/>
    <w:rsid w:val="00B05355"/>
    <w:rsid w:val="00B062BA"/>
    <w:rsid w:val="00B10449"/>
    <w:rsid w:val="00B1646C"/>
    <w:rsid w:val="00B16F96"/>
    <w:rsid w:val="00B23962"/>
    <w:rsid w:val="00B246D5"/>
    <w:rsid w:val="00B35C7B"/>
    <w:rsid w:val="00B3786B"/>
    <w:rsid w:val="00B46182"/>
    <w:rsid w:val="00B6252F"/>
    <w:rsid w:val="00B70ACF"/>
    <w:rsid w:val="00B72111"/>
    <w:rsid w:val="00B74C77"/>
    <w:rsid w:val="00B763D8"/>
    <w:rsid w:val="00B77008"/>
    <w:rsid w:val="00B846F7"/>
    <w:rsid w:val="00B90FD4"/>
    <w:rsid w:val="00BA4589"/>
    <w:rsid w:val="00BB09DB"/>
    <w:rsid w:val="00BB7B1E"/>
    <w:rsid w:val="00BC116E"/>
    <w:rsid w:val="00BC1D3A"/>
    <w:rsid w:val="00BC3EE6"/>
    <w:rsid w:val="00BC53BD"/>
    <w:rsid w:val="00BD018C"/>
    <w:rsid w:val="00BD18CA"/>
    <w:rsid w:val="00BD4E34"/>
    <w:rsid w:val="00BD6711"/>
    <w:rsid w:val="00BE00A0"/>
    <w:rsid w:val="00BE6B71"/>
    <w:rsid w:val="00BF00A6"/>
    <w:rsid w:val="00BF54E9"/>
    <w:rsid w:val="00C00BC2"/>
    <w:rsid w:val="00C05CDC"/>
    <w:rsid w:val="00C07F4D"/>
    <w:rsid w:val="00C101CC"/>
    <w:rsid w:val="00C157F9"/>
    <w:rsid w:val="00C179D0"/>
    <w:rsid w:val="00C220F2"/>
    <w:rsid w:val="00C310D4"/>
    <w:rsid w:val="00C31A3B"/>
    <w:rsid w:val="00C32AAB"/>
    <w:rsid w:val="00C334D2"/>
    <w:rsid w:val="00C40EEA"/>
    <w:rsid w:val="00C62653"/>
    <w:rsid w:val="00C64B46"/>
    <w:rsid w:val="00C74800"/>
    <w:rsid w:val="00C9276B"/>
    <w:rsid w:val="00C935D5"/>
    <w:rsid w:val="00C9437C"/>
    <w:rsid w:val="00C94CC2"/>
    <w:rsid w:val="00C9793F"/>
    <w:rsid w:val="00CA1791"/>
    <w:rsid w:val="00CA3339"/>
    <w:rsid w:val="00CB4CB3"/>
    <w:rsid w:val="00CB5B08"/>
    <w:rsid w:val="00CE4370"/>
    <w:rsid w:val="00CF1882"/>
    <w:rsid w:val="00CF3EB0"/>
    <w:rsid w:val="00D030AF"/>
    <w:rsid w:val="00D05499"/>
    <w:rsid w:val="00D05AEC"/>
    <w:rsid w:val="00D076DA"/>
    <w:rsid w:val="00D20374"/>
    <w:rsid w:val="00D20761"/>
    <w:rsid w:val="00D22141"/>
    <w:rsid w:val="00D26DC8"/>
    <w:rsid w:val="00D318CB"/>
    <w:rsid w:val="00D34391"/>
    <w:rsid w:val="00D40B85"/>
    <w:rsid w:val="00D41B73"/>
    <w:rsid w:val="00D42665"/>
    <w:rsid w:val="00D427E2"/>
    <w:rsid w:val="00D43F1C"/>
    <w:rsid w:val="00D47CB6"/>
    <w:rsid w:val="00D55C13"/>
    <w:rsid w:val="00D55EEE"/>
    <w:rsid w:val="00D653A8"/>
    <w:rsid w:val="00D7159B"/>
    <w:rsid w:val="00D8226C"/>
    <w:rsid w:val="00DB4DD2"/>
    <w:rsid w:val="00DB69BE"/>
    <w:rsid w:val="00DB6D73"/>
    <w:rsid w:val="00DB7783"/>
    <w:rsid w:val="00DC2EB0"/>
    <w:rsid w:val="00DC4B53"/>
    <w:rsid w:val="00DD4DA0"/>
    <w:rsid w:val="00DE06BA"/>
    <w:rsid w:val="00DE6541"/>
    <w:rsid w:val="00DE6F22"/>
    <w:rsid w:val="00DE74EA"/>
    <w:rsid w:val="00DF5404"/>
    <w:rsid w:val="00E05FFC"/>
    <w:rsid w:val="00E10F53"/>
    <w:rsid w:val="00E15EC9"/>
    <w:rsid w:val="00E16621"/>
    <w:rsid w:val="00E21587"/>
    <w:rsid w:val="00E227CE"/>
    <w:rsid w:val="00E234BC"/>
    <w:rsid w:val="00E2634C"/>
    <w:rsid w:val="00E27B62"/>
    <w:rsid w:val="00E3188B"/>
    <w:rsid w:val="00E33ED3"/>
    <w:rsid w:val="00E35528"/>
    <w:rsid w:val="00E3586F"/>
    <w:rsid w:val="00E35A25"/>
    <w:rsid w:val="00E4386A"/>
    <w:rsid w:val="00E47BE3"/>
    <w:rsid w:val="00E60E63"/>
    <w:rsid w:val="00E62CF3"/>
    <w:rsid w:val="00E64A4C"/>
    <w:rsid w:val="00E731C1"/>
    <w:rsid w:val="00E82C82"/>
    <w:rsid w:val="00E833A6"/>
    <w:rsid w:val="00E85DDD"/>
    <w:rsid w:val="00E90618"/>
    <w:rsid w:val="00E931BD"/>
    <w:rsid w:val="00E93D22"/>
    <w:rsid w:val="00E94184"/>
    <w:rsid w:val="00EB2D76"/>
    <w:rsid w:val="00EC15F8"/>
    <w:rsid w:val="00EC346B"/>
    <w:rsid w:val="00EC5A8A"/>
    <w:rsid w:val="00ED18DA"/>
    <w:rsid w:val="00EE6858"/>
    <w:rsid w:val="00EF1C2F"/>
    <w:rsid w:val="00EF4CC1"/>
    <w:rsid w:val="00EF6F0A"/>
    <w:rsid w:val="00F0066B"/>
    <w:rsid w:val="00F00B00"/>
    <w:rsid w:val="00F21FFB"/>
    <w:rsid w:val="00F22E0E"/>
    <w:rsid w:val="00F36048"/>
    <w:rsid w:val="00F36162"/>
    <w:rsid w:val="00F427DB"/>
    <w:rsid w:val="00F44B07"/>
    <w:rsid w:val="00F656D8"/>
    <w:rsid w:val="00F65C62"/>
    <w:rsid w:val="00F77424"/>
    <w:rsid w:val="00F809B8"/>
    <w:rsid w:val="00F8419F"/>
    <w:rsid w:val="00FA5A6A"/>
    <w:rsid w:val="00FB4D2C"/>
    <w:rsid w:val="00FC12E4"/>
    <w:rsid w:val="00FC54EC"/>
    <w:rsid w:val="00FC71A5"/>
    <w:rsid w:val="00FD142F"/>
    <w:rsid w:val="00FD5EE9"/>
    <w:rsid w:val="00FE015C"/>
    <w:rsid w:val="00FF19E1"/>
    <w:rsid w:val="00FF1EE3"/>
    <w:rsid w:val="0FB94E3E"/>
    <w:rsid w:val="119D0FF3"/>
    <w:rsid w:val="18F002B2"/>
    <w:rsid w:val="32CA61D8"/>
    <w:rsid w:val="33EB4ED1"/>
    <w:rsid w:val="376B7F55"/>
    <w:rsid w:val="4FE62DB2"/>
    <w:rsid w:val="53F64B8C"/>
    <w:rsid w:val="554F6678"/>
    <w:rsid w:val="57A54D6A"/>
    <w:rsid w:val="5EA371B8"/>
    <w:rsid w:val="7D9D5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rPr>
      <w:rFonts w:ascii="Cambria" w:hAnsi="Cambria" w:eastAsia="黑体"/>
      <w:sz w:val="20"/>
      <w:szCs w:val="20"/>
    </w:rPr>
  </w:style>
  <w:style w:type="paragraph" w:styleId="3">
    <w:name w:val="Body Text"/>
    <w:basedOn w:val="1"/>
    <w:next w:val="4"/>
    <w:qFormat/>
    <w:uiPriority w:val="1"/>
    <w:pPr>
      <w:autoSpaceDE w:val="0"/>
      <w:autoSpaceDN w:val="0"/>
      <w:jc w:val="left"/>
    </w:pPr>
    <w:rPr>
      <w:rFonts w:ascii="宋体" w:hAnsi="宋体" w:cs="宋体"/>
      <w:kern w:val="0"/>
      <w:szCs w:val="21"/>
    </w:rPr>
  </w:style>
  <w:style w:type="paragraph" w:styleId="4">
    <w:name w:val="Title"/>
    <w:basedOn w:val="1"/>
    <w:next w:val="1"/>
    <w:qFormat/>
    <w:uiPriority w:val="0"/>
    <w:pPr>
      <w:spacing w:before="240" w:after="60"/>
      <w:jc w:val="center"/>
      <w:outlineLvl w:val="0"/>
    </w:pPr>
    <w:rPr>
      <w:rFonts w:ascii="Arial" w:hAnsi="Arial" w:cs="Arial"/>
      <w:b/>
      <w:bCs/>
      <w:sz w:val="32"/>
      <w:szCs w:val="32"/>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0"/>
    <w:rPr>
      <w:b/>
      <w:bCs/>
    </w:rPr>
  </w:style>
  <w:style w:type="character" w:styleId="13">
    <w:name w:val="page number"/>
    <w:basedOn w:val="11"/>
    <w:qFormat/>
    <w:uiPriority w:val="0"/>
  </w:style>
  <w:style w:type="paragraph" w:customStyle="1" w:styleId="14">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5">
    <w:name w:val="章标题"/>
    <w:next w:val="1"/>
    <w:qFormat/>
    <w:uiPriority w:val="0"/>
    <w:pPr>
      <w:numPr>
        <w:ilvl w:val="1"/>
        <w:numId w:val="1"/>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16">
    <w:name w:val="一级条标题"/>
    <w:next w:val="1"/>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17">
    <w:name w:val="二级条标题"/>
    <w:basedOn w:val="16"/>
    <w:next w:val="1"/>
    <w:qFormat/>
    <w:uiPriority w:val="0"/>
    <w:pPr>
      <w:numPr>
        <w:ilvl w:val="3"/>
      </w:numPr>
      <w:outlineLvl w:val="3"/>
    </w:pPr>
  </w:style>
  <w:style w:type="paragraph" w:customStyle="1" w:styleId="18">
    <w:name w:val="目次、标准名称标题"/>
    <w:basedOn w:val="14"/>
    <w:next w:val="1"/>
    <w:qFormat/>
    <w:uiPriority w:val="0"/>
    <w:pPr>
      <w:spacing w:line="460" w:lineRule="exact"/>
    </w:pPr>
  </w:style>
  <w:style w:type="paragraph" w:customStyle="1" w:styleId="19">
    <w:name w:val="三级条标题"/>
    <w:basedOn w:val="17"/>
    <w:next w:val="1"/>
    <w:qFormat/>
    <w:uiPriority w:val="0"/>
    <w:pPr>
      <w:numPr>
        <w:ilvl w:val="4"/>
      </w:numPr>
      <w:outlineLvl w:val="4"/>
    </w:pPr>
  </w:style>
  <w:style w:type="paragraph" w:customStyle="1" w:styleId="20">
    <w:name w:val="四级条标题"/>
    <w:basedOn w:val="19"/>
    <w:next w:val="1"/>
    <w:qFormat/>
    <w:uiPriority w:val="0"/>
    <w:pPr>
      <w:numPr>
        <w:ilvl w:val="5"/>
      </w:numPr>
      <w:outlineLvl w:val="5"/>
    </w:pPr>
  </w:style>
  <w:style w:type="paragraph" w:customStyle="1" w:styleId="21">
    <w:name w:val="五级条标题"/>
    <w:basedOn w:val="20"/>
    <w:next w:val="1"/>
    <w:qFormat/>
    <w:uiPriority w:val="0"/>
    <w:pPr>
      <w:numPr>
        <w:ilvl w:val="6"/>
      </w:numPr>
      <w:outlineLvl w:val="6"/>
    </w:pPr>
  </w:style>
  <w:style w:type="paragraph" w:customStyle="1" w:styleId="22">
    <w:name w:val="段"/>
    <w:link w:val="2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
    <w:name w:val="列项——（一级）"/>
    <w:qFormat/>
    <w:uiPriority w:val="0"/>
    <w:pPr>
      <w:widowControl w:val="0"/>
      <w:numPr>
        <w:ilvl w:val="0"/>
        <w:numId w:val="2"/>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24">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25">
    <w:name w:val="列项◆（三级）"/>
    <w:basedOn w:val="1"/>
    <w:qFormat/>
    <w:uiPriority w:val="0"/>
    <w:pPr>
      <w:tabs>
        <w:tab w:val="left" w:pos="1678"/>
      </w:tabs>
      <w:ind w:left="1678" w:hanging="414"/>
    </w:pPr>
    <w:rPr>
      <w:rFonts w:ascii="宋体"/>
      <w:szCs w:val="21"/>
    </w:rPr>
  </w:style>
  <w:style w:type="character" w:customStyle="1" w:styleId="26">
    <w:name w:val="段 Char"/>
    <w:link w:val="22"/>
    <w:qFormat/>
    <w:uiPriority w:val="0"/>
    <w:rPr>
      <w:rFonts w:ascii="宋体"/>
      <w:sz w:val="21"/>
      <w:lang w:val="en-US" w:eastAsia="zh-CN" w:bidi="ar-SA"/>
    </w:rPr>
  </w:style>
  <w:style w:type="paragraph" w:customStyle="1" w:styleId="27">
    <w:name w:val="标准文件_字母编号列项（一级）"/>
    <w:qFormat/>
    <w:uiPriority w:val="0"/>
    <w:pPr>
      <w:numPr>
        <w:ilvl w:val="0"/>
        <w:numId w:val="3"/>
      </w:numPr>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1.png"/><Relationship Id="rId24" Type="http://schemas.microsoft.com/office/2007/relationships/hdphoto" Target="media/image20.wdp"/><Relationship Id="rId23" Type="http://schemas.openxmlformats.org/officeDocument/2006/relationships/image" Target="media/image19.png"/><Relationship Id="rId22" Type="http://schemas.microsoft.com/office/2007/relationships/hdphoto" Target="media/image18.wdp"/><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D0CB85-ED04-4A80-98E3-B630C89D1402}">
  <ds:schemaRefs/>
</ds:datastoreItem>
</file>

<file path=docProps/app.xml><?xml version="1.0" encoding="utf-8"?>
<Properties xmlns="http://schemas.openxmlformats.org/officeDocument/2006/extended-properties" xmlns:vt="http://schemas.openxmlformats.org/officeDocument/2006/docPropsVTypes">
  <Template>Normal.dotm</Template>
  <Company>CEI</Company>
  <Pages>14</Pages>
  <Words>2004</Words>
  <Characters>2132</Characters>
  <Lines>52</Lines>
  <Paragraphs>14</Paragraphs>
  <TotalTime>3</TotalTime>
  <ScaleCrop>false</ScaleCrop>
  <LinksUpToDate>false</LinksUpToDate>
  <CharactersWithSpaces>2159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2026-01-29T08:01:00Z</dcterms:created>
  <dc:creator>yangjian</dc:creator>
  <cp:lastModifiedBy>宁静以致远~</cp:lastModifiedBy>
  <cp:lastPrinted>2019-12-03T06:48:00Z</cp:lastPrinted>
  <dcterms:modified xsi:type="dcterms:W3CDTF">2026-02-27T06:45:01Z</dcterms:modified>
  <dc:title>JB/T 4375《电工产品户内户外腐蚀场所使用环境条件》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eyJoZGlkIjoiYjY5ODdiYWZhYzQxMDhkMWZjZjVjZDA1OGFkNjQzYjgiLCJ1c2VySWQiOiI4NjU1NDkwMjgifQ==</vt:lpwstr>
  </property>
  <property fmtid="{D5CDD505-2E9C-101B-9397-08002B2CF9AE}" pid="3" name="KSOProductBuildVer">
    <vt:lpwstr>2052-12.1.0.25225</vt:lpwstr>
  </property>
  <property fmtid="{D5CDD505-2E9C-101B-9397-08002B2CF9AE}" pid="4" name="ICV">
    <vt:lpwstr>9299D7E2002C4959AA8AAEE96AC60ADA_13</vt:lpwstr>
  </property>
</Properties>
</file>