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9D8F22">
      <w:pPr>
        <w:pStyle w:val="2"/>
        <w:jc w:val="center"/>
        <w:rPr>
          <w:rFonts w:hint="eastAsia" w:ascii="Times New Roman" w:hAnsi="Times New Roman" w:eastAsia="黑体" w:cs="Times New Roman"/>
          <w:sz w:val="52"/>
          <w:szCs w:val="52"/>
        </w:rPr>
      </w:pPr>
      <w:r>
        <w:rPr>
          <w:rFonts w:hint="eastAsia" w:ascii="Times New Roman" w:hAnsi="Times New Roman" w:eastAsia="黑体" w:cs="Times New Roman"/>
          <w:sz w:val="52"/>
          <w:szCs w:val="52"/>
        </w:rPr>
        <w:t>中国仪器仪表行业协会团体标准</w:t>
      </w:r>
    </w:p>
    <w:p w14:paraId="34D5C08D">
      <w:pPr>
        <w:rPr>
          <w:rFonts w:ascii="Times New Roman" w:hAnsi="Times New Roman" w:eastAsia="黑体"/>
          <w:sz w:val="52"/>
          <w:szCs w:val="52"/>
        </w:rPr>
      </w:pPr>
    </w:p>
    <w:p w14:paraId="2A910E21">
      <w:pPr>
        <w:rPr>
          <w:rFonts w:ascii="Times New Roman" w:hAnsi="Times New Roman" w:eastAsia="黑体"/>
          <w:sz w:val="52"/>
          <w:szCs w:val="52"/>
        </w:rPr>
      </w:pPr>
    </w:p>
    <w:p w14:paraId="753BA98A">
      <w:pPr>
        <w:jc w:val="center"/>
        <w:rPr>
          <w:rFonts w:hint="eastAsia" w:ascii="Times New Roman" w:hAnsi="Times New Roman" w:eastAsia="宋体" w:cs="Times New Roman"/>
          <w:b/>
          <w:bCs/>
          <w:kern w:val="44"/>
          <w:sz w:val="48"/>
          <w:szCs w:val="48"/>
          <w:lang w:val="en-US" w:eastAsia="zh-CN" w:bidi="ar-SA"/>
        </w:rPr>
      </w:pPr>
      <w:r>
        <w:rPr>
          <w:rFonts w:hint="eastAsia" w:ascii="Times New Roman" w:hAnsi="Times New Roman" w:eastAsia="宋体" w:cs="Times New Roman"/>
          <w:b/>
          <w:bCs/>
          <w:kern w:val="44"/>
          <w:sz w:val="48"/>
          <w:szCs w:val="48"/>
          <w:lang w:val="en-US" w:eastAsia="zh-CN" w:bidi="ar-SA"/>
        </w:rPr>
        <w:t xml:space="preserve">《基于电力流的碳排放计量 </w:t>
      </w:r>
      <w:bookmarkStart w:id="3" w:name="_GoBack"/>
      <w:bookmarkEnd w:id="3"/>
      <w:r>
        <w:rPr>
          <w:rFonts w:hint="eastAsia" w:ascii="Times New Roman" w:hAnsi="Times New Roman" w:eastAsia="宋体" w:cs="Times New Roman"/>
          <w:b/>
          <w:bCs/>
          <w:kern w:val="44"/>
          <w:sz w:val="48"/>
          <w:szCs w:val="48"/>
          <w:lang w:val="en-US" w:eastAsia="zh-CN" w:bidi="ar-SA"/>
        </w:rPr>
        <w:t>第</w:t>
      </w:r>
      <w:r>
        <w:rPr>
          <w:rFonts w:hint="eastAsia" w:ascii="Times New Roman" w:hAnsi="Times New Roman" w:cs="Times New Roman"/>
          <w:b/>
          <w:bCs/>
          <w:kern w:val="44"/>
          <w:sz w:val="48"/>
          <w:szCs w:val="48"/>
          <w:lang w:val="en-US" w:eastAsia="zh-CN" w:bidi="ar-SA"/>
        </w:rPr>
        <w:t>5</w:t>
      </w:r>
      <w:r>
        <w:rPr>
          <w:rFonts w:hint="eastAsia" w:ascii="Times New Roman" w:hAnsi="Times New Roman" w:eastAsia="宋体" w:cs="Times New Roman"/>
          <w:b/>
          <w:bCs/>
          <w:kern w:val="44"/>
          <w:sz w:val="48"/>
          <w:szCs w:val="48"/>
          <w:lang w:val="en-US" w:eastAsia="zh-CN" w:bidi="ar-SA"/>
        </w:rPr>
        <w:t>部分：</w:t>
      </w:r>
    </w:p>
    <w:p w14:paraId="54C93D7E">
      <w:pPr>
        <w:jc w:val="center"/>
        <w:rPr>
          <w:rFonts w:hint="eastAsia" w:ascii="Times New Roman" w:hAnsi="Times New Roman" w:eastAsia="宋体" w:cs="Times New Roman"/>
          <w:b/>
          <w:bCs/>
          <w:kern w:val="44"/>
          <w:sz w:val="48"/>
          <w:szCs w:val="48"/>
          <w:lang w:val="en-US" w:eastAsia="zh-CN" w:bidi="ar-SA"/>
        </w:rPr>
      </w:pPr>
      <w:r>
        <w:rPr>
          <w:rFonts w:hint="eastAsia" w:ascii="Times New Roman" w:hAnsi="Times New Roman" w:eastAsia="宋体" w:cs="Times New Roman"/>
          <w:b/>
          <w:bCs/>
          <w:kern w:val="44"/>
          <w:sz w:val="48"/>
          <w:szCs w:val="48"/>
          <w:lang w:val="en-US" w:eastAsia="zh-CN" w:bidi="ar-SA"/>
        </w:rPr>
        <w:t>计量</w:t>
      </w:r>
      <w:r>
        <w:rPr>
          <w:rFonts w:hint="eastAsia" w:ascii="Times New Roman" w:hAnsi="Times New Roman" w:cs="Times New Roman"/>
          <w:b/>
          <w:bCs/>
          <w:kern w:val="44"/>
          <w:sz w:val="48"/>
          <w:szCs w:val="48"/>
          <w:lang w:val="en-US" w:eastAsia="zh-CN" w:bidi="ar-SA"/>
        </w:rPr>
        <w:t>系统建设指南</w:t>
      </w:r>
      <w:r>
        <w:rPr>
          <w:rFonts w:hint="eastAsia" w:ascii="Times New Roman" w:hAnsi="Times New Roman" w:eastAsia="宋体" w:cs="Times New Roman"/>
          <w:b/>
          <w:bCs/>
          <w:kern w:val="44"/>
          <w:sz w:val="48"/>
          <w:szCs w:val="48"/>
          <w:lang w:val="en-US" w:eastAsia="zh-CN" w:bidi="ar-SA"/>
        </w:rPr>
        <w:t>》</w:t>
      </w:r>
    </w:p>
    <w:p w14:paraId="62F2CF8E">
      <w:pPr>
        <w:rPr>
          <w:rFonts w:ascii="Times New Roman" w:hAnsi="Times New Roman"/>
          <w:sz w:val="32"/>
          <w:szCs w:val="32"/>
        </w:rPr>
      </w:pPr>
    </w:p>
    <w:p w14:paraId="65811281">
      <w:pPr>
        <w:rPr>
          <w:rFonts w:ascii="Times New Roman" w:hAnsi="Times New Roman"/>
          <w:sz w:val="32"/>
          <w:szCs w:val="32"/>
        </w:rPr>
      </w:pPr>
    </w:p>
    <w:p w14:paraId="18354128">
      <w:pPr>
        <w:rPr>
          <w:rFonts w:ascii="Times New Roman" w:hAnsi="Times New Roman"/>
          <w:sz w:val="32"/>
          <w:szCs w:val="32"/>
        </w:rPr>
      </w:pPr>
    </w:p>
    <w:p w14:paraId="73CEDD9E">
      <w:pPr>
        <w:pStyle w:val="2"/>
        <w:jc w:val="center"/>
        <w:rPr>
          <w:rFonts w:hint="eastAsia" w:ascii="黑体" w:hAnsi="黑体" w:eastAsia="黑体"/>
          <w:b w:val="0"/>
        </w:rPr>
      </w:pPr>
      <w:r>
        <w:rPr>
          <w:rFonts w:ascii="黑体" w:hAnsi="黑体" w:eastAsia="黑体"/>
          <w:b w:val="0"/>
        </w:rPr>
        <w:t>编制说明</w:t>
      </w:r>
    </w:p>
    <w:p w14:paraId="3AA83ECD">
      <w:pPr>
        <w:jc w:val="center"/>
        <w:rPr>
          <w:b/>
          <w:sz w:val="32"/>
          <w:szCs w:val="32"/>
          <w:lang w:val="zh-CN"/>
        </w:rPr>
      </w:pPr>
    </w:p>
    <w:p w14:paraId="4E83CDA2">
      <w:pPr>
        <w:jc w:val="center"/>
        <w:rPr>
          <w:b/>
          <w:sz w:val="32"/>
          <w:szCs w:val="32"/>
          <w:lang w:val="zh-CN"/>
        </w:rPr>
      </w:pPr>
    </w:p>
    <w:p w14:paraId="54BB18B8">
      <w:pPr>
        <w:jc w:val="center"/>
        <w:rPr>
          <w:b/>
          <w:sz w:val="32"/>
          <w:szCs w:val="32"/>
          <w:lang w:val="zh-CN"/>
        </w:rPr>
      </w:pPr>
    </w:p>
    <w:p w14:paraId="7870B8D5">
      <w:pPr>
        <w:jc w:val="center"/>
        <w:rPr>
          <w:b/>
          <w:sz w:val="32"/>
          <w:szCs w:val="32"/>
          <w:lang w:val="zh-CN"/>
        </w:rPr>
      </w:pPr>
      <w:r>
        <w:rPr>
          <w:b/>
          <w:sz w:val="32"/>
          <w:szCs w:val="32"/>
          <w:lang w:val="zh-CN"/>
        </w:rPr>
        <w:t>（</w:t>
      </w:r>
      <w:r>
        <w:rPr>
          <w:rFonts w:hint="eastAsia"/>
          <w:b/>
          <w:sz w:val="32"/>
          <w:szCs w:val="32"/>
          <w:lang w:val="zh-CN"/>
        </w:rPr>
        <w:t>征求意见</w:t>
      </w:r>
      <w:r>
        <w:rPr>
          <w:b/>
          <w:sz w:val="32"/>
          <w:szCs w:val="32"/>
          <w:lang w:val="zh-CN"/>
        </w:rPr>
        <w:t>稿）</w:t>
      </w:r>
    </w:p>
    <w:p w14:paraId="0E06472D">
      <w:pPr>
        <w:jc w:val="center"/>
        <w:rPr>
          <w:rFonts w:hint="default" w:eastAsia="宋体"/>
          <w:b/>
          <w:sz w:val="32"/>
          <w:szCs w:val="32"/>
          <w:lang w:val="en-US" w:eastAsia="zh-CN"/>
        </w:rPr>
      </w:pPr>
      <w:r>
        <w:rPr>
          <w:rFonts w:hint="eastAsia"/>
          <w:b/>
          <w:sz w:val="32"/>
          <w:szCs w:val="32"/>
        </w:rPr>
        <w:t>202</w:t>
      </w:r>
      <w:r>
        <w:rPr>
          <w:rFonts w:hint="eastAsia"/>
          <w:b/>
          <w:sz w:val="32"/>
          <w:szCs w:val="32"/>
          <w:lang w:val="en-US" w:eastAsia="zh-CN"/>
        </w:rPr>
        <w:t>50922</w:t>
      </w:r>
    </w:p>
    <w:p w14:paraId="3D7118A0">
      <w:pPr>
        <w:pStyle w:val="22"/>
        <w:ind w:firstLine="0" w:firstLineChars="0"/>
        <w:jc w:val="center"/>
        <w:rPr>
          <w:rFonts w:hint="eastAsia" w:ascii="黑体" w:hAnsi="黑体" w:eastAsia="黑体" w:cs="黑体"/>
          <w:sz w:val="28"/>
          <w:szCs w:val="28"/>
        </w:rPr>
      </w:pPr>
    </w:p>
    <w:p w14:paraId="6398C8D8">
      <w:pPr>
        <w:pStyle w:val="22"/>
        <w:ind w:firstLine="1400" w:firstLineChars="500"/>
        <w:jc w:val="left"/>
        <w:rPr>
          <w:rFonts w:hint="eastAsia" w:ascii="黑体" w:hAnsi="黑体" w:eastAsia="黑体" w:cs="黑体"/>
          <w:sz w:val="28"/>
          <w:szCs w:val="28"/>
        </w:rPr>
      </w:pPr>
    </w:p>
    <w:p w14:paraId="591318EB">
      <w:pPr>
        <w:pStyle w:val="24"/>
        <w:spacing w:before="360" w:after="360"/>
        <w:rPr>
          <w:rFonts w:hint="eastAsia" w:hAnsi="黑体" w:cs="黑体"/>
          <w:shd w:val="clear" w:color="auto" w:fill="FFFFFF"/>
        </w:rPr>
        <w:sectPr>
          <w:pgSz w:w="11906" w:h="16838"/>
          <w:pgMar w:top="1440" w:right="1800" w:bottom="1440" w:left="1800" w:header="851" w:footer="992" w:gutter="0"/>
          <w:cols w:space="720" w:num="1"/>
          <w:docGrid w:type="lines" w:linePitch="312" w:charSpace="0"/>
        </w:sectPr>
      </w:pPr>
    </w:p>
    <w:p w14:paraId="7789EF35">
      <w:pPr>
        <w:pStyle w:val="3"/>
        <w:spacing w:line="400" w:lineRule="exact"/>
        <w:rPr>
          <w:rFonts w:hint="eastAsia" w:asciiTheme="majorEastAsia" w:hAnsiTheme="majorEastAsia" w:eastAsiaTheme="majorEastAsia"/>
          <w:sz w:val="28"/>
          <w:szCs w:val="28"/>
        </w:rPr>
      </w:pPr>
      <w:r>
        <w:rPr>
          <w:rFonts w:hint="eastAsia" w:asciiTheme="majorEastAsia" w:hAnsiTheme="majorEastAsia" w:eastAsiaTheme="majorEastAsia"/>
          <w:sz w:val="28"/>
          <w:szCs w:val="28"/>
        </w:rPr>
        <w:t>一、</w:t>
      </w:r>
      <w:r>
        <w:rPr>
          <w:rFonts w:cs="黑体" w:asciiTheme="majorEastAsia" w:hAnsiTheme="majorEastAsia" w:eastAsiaTheme="majorEastAsia"/>
          <w:sz w:val="28"/>
          <w:szCs w:val="28"/>
        </w:rPr>
        <w:t xml:space="preserve"> </w:t>
      </w:r>
      <w:r>
        <w:rPr>
          <w:rFonts w:hint="eastAsia" w:cs="黑体" w:asciiTheme="majorEastAsia" w:hAnsiTheme="majorEastAsia" w:eastAsiaTheme="majorEastAsia"/>
          <w:sz w:val="28"/>
          <w:szCs w:val="28"/>
        </w:rPr>
        <w:t>工作简况</w:t>
      </w:r>
    </w:p>
    <w:p w14:paraId="5EA8B225">
      <w:pPr>
        <w:pStyle w:val="3"/>
        <w:spacing w:line="400" w:lineRule="exact"/>
        <w:rPr>
          <w:rFonts w:hint="eastAsia" w:asciiTheme="majorEastAsia" w:hAnsiTheme="majorEastAsia" w:eastAsiaTheme="majorEastAsia" w:cstheme="majorEastAsia"/>
          <w:b w:val="0"/>
          <w:bCs w:val="0"/>
          <w:color w:val="auto"/>
          <w:kern w:val="2"/>
          <w:sz w:val="24"/>
          <w:szCs w:val="24"/>
          <w:lang w:val="en-US" w:eastAsia="zh-CN" w:bidi="ar-SA"/>
        </w:rPr>
      </w:pPr>
      <w:r>
        <w:rPr>
          <w:rFonts w:ascii="宋体" w:hAnsi="宋体" w:cs="宋体"/>
          <w:sz w:val="28"/>
          <w:szCs w:val="28"/>
        </w:rPr>
        <w:t>1</w:t>
      </w:r>
      <w:r>
        <w:rPr>
          <w:rFonts w:hint="eastAsia" w:ascii="宋体" w:hAnsi="宋体" w:cs="宋体"/>
          <w:sz w:val="28"/>
          <w:szCs w:val="28"/>
        </w:rPr>
        <w:t xml:space="preserve"> </w:t>
      </w:r>
      <w:r>
        <w:rPr>
          <w:rFonts w:ascii="宋体" w:hAnsi="宋体" w:cs="宋体"/>
          <w:sz w:val="28"/>
          <w:szCs w:val="28"/>
        </w:rPr>
        <w:t xml:space="preserve"> </w:t>
      </w:r>
      <w:r>
        <w:rPr>
          <w:rFonts w:hint="eastAsia" w:ascii="宋体" w:hAnsi="宋体" w:cs="宋体"/>
          <w:sz w:val="28"/>
          <w:szCs w:val="28"/>
        </w:rPr>
        <w:t>任务来源</w:t>
      </w:r>
    </w:p>
    <w:p w14:paraId="367B6E89">
      <w:pPr>
        <w:pStyle w:val="52"/>
        <w:spacing w:line="360" w:lineRule="auto"/>
        <w:ind w:firstLine="480"/>
        <w:rPr>
          <w:rFonts w:hint="eastAsia" w:ascii="Times New Roman" w:hAnsi="Times New Roman"/>
          <w:sz w:val="24"/>
          <w:szCs w:val="24"/>
        </w:rPr>
      </w:pPr>
      <w:r>
        <w:rPr>
          <w:rFonts w:hint="eastAsia" w:asciiTheme="majorEastAsia" w:hAnsiTheme="majorEastAsia" w:eastAsiaTheme="majorEastAsia" w:cstheme="majorEastAsia"/>
          <w:color w:val="auto"/>
          <w:sz w:val="24"/>
          <w:szCs w:val="24"/>
          <w:lang w:val="en-US" w:eastAsia="zh-CN"/>
        </w:rPr>
        <w:t>本团体标准根据中国仪器仪表行业协会《关于&lt;反窃电智能诊断模型评价导则&gt;等10项团体标准立项的批复》（中仪协﹝2025﹞2号）文件立项，</w:t>
      </w:r>
      <w:r>
        <w:rPr>
          <w:rFonts w:hint="eastAsia" w:ascii="Times New Roman" w:hAnsi="Times New Roman" w:eastAsiaTheme="majorEastAsia"/>
          <w:sz w:val="24"/>
          <w:szCs w:val="24"/>
          <w:highlight w:val="none"/>
          <w:lang w:val="en-US" w:eastAsia="zh-CN"/>
        </w:rPr>
        <w:t>项目</w:t>
      </w:r>
      <w:r>
        <w:rPr>
          <w:rFonts w:hint="eastAsia" w:ascii="Times New Roman" w:hAnsi="Times New Roman"/>
          <w:sz w:val="24"/>
          <w:szCs w:val="24"/>
          <w:highlight w:val="none"/>
        </w:rPr>
        <w:t>名称为《基于电力流的碳排放计量 第5部分：计量监测系统建设指南》，</w:t>
      </w:r>
      <w:r>
        <w:rPr>
          <w:rFonts w:hint="eastAsia" w:ascii="Times New Roman" w:hAnsi="Times New Roman"/>
          <w:sz w:val="24"/>
          <w:szCs w:val="24"/>
          <w:lang w:val="en-US" w:eastAsia="zh-CN"/>
        </w:rPr>
        <w:t>项目</w:t>
      </w:r>
      <w:r>
        <w:rPr>
          <w:rFonts w:hint="eastAsia" w:ascii="Times New Roman" w:hAnsi="Times New Roman"/>
          <w:sz w:val="24"/>
          <w:szCs w:val="24"/>
        </w:rPr>
        <w:t xml:space="preserve">编号为T/CIMA </w:t>
      </w:r>
      <w:r>
        <w:rPr>
          <w:rFonts w:hint="eastAsia" w:ascii="Times New Roman" w:hAnsi="Times New Roman"/>
          <w:sz w:val="24"/>
          <w:szCs w:val="24"/>
          <w:lang w:val="en-US" w:eastAsia="zh-CN"/>
        </w:rPr>
        <w:t>0185</w:t>
      </w:r>
      <w:r>
        <w:rPr>
          <w:rFonts w:hint="eastAsia" w:ascii="Times New Roman" w:hAnsi="Times New Roman"/>
          <w:sz w:val="24"/>
          <w:szCs w:val="24"/>
        </w:rPr>
        <w:t>。本文件由中国仪器仪表行业协会电工仪器仪表分会提出，由中国仪器仪表行业协会归口。计划编制完成年限为202</w:t>
      </w:r>
      <w:r>
        <w:rPr>
          <w:rFonts w:hint="eastAsia" w:ascii="Times New Roman" w:hAnsi="Times New Roman"/>
          <w:sz w:val="24"/>
          <w:szCs w:val="24"/>
          <w:lang w:val="en-US" w:eastAsia="zh-CN"/>
        </w:rPr>
        <w:t>6</w:t>
      </w:r>
      <w:r>
        <w:rPr>
          <w:rFonts w:hint="eastAsia" w:ascii="Times New Roman" w:hAnsi="Times New Roman"/>
          <w:sz w:val="24"/>
          <w:szCs w:val="24"/>
        </w:rPr>
        <w:t>年。</w:t>
      </w:r>
    </w:p>
    <w:p w14:paraId="53DAE49A">
      <w:pPr>
        <w:pStyle w:val="3"/>
        <w:spacing w:line="400" w:lineRule="exact"/>
        <w:rPr>
          <w:rFonts w:hint="eastAsia" w:ascii="宋体" w:hAnsi="宋体" w:cs="宋体"/>
          <w:sz w:val="28"/>
          <w:szCs w:val="28"/>
        </w:rPr>
      </w:pPr>
      <w:r>
        <w:rPr>
          <w:rFonts w:hint="eastAsia" w:ascii="宋体" w:hAnsi="宋体" w:cs="宋体"/>
          <w:sz w:val="28"/>
          <w:szCs w:val="28"/>
        </w:rPr>
        <w:t>2  主要工作过程</w:t>
      </w:r>
    </w:p>
    <w:p w14:paraId="6F5114E2">
      <w:pPr>
        <w:spacing w:line="360" w:lineRule="auto"/>
        <w:ind w:firstLine="482" w:firstLineChars="200"/>
        <w:rPr>
          <w:rFonts w:hint="eastAsia" w:ascii="宋体" w:hAnsi="宋体" w:eastAsia="宋体" w:cs="宋体"/>
          <w:b/>
          <w:sz w:val="24"/>
          <w:szCs w:val="24"/>
        </w:rPr>
      </w:pPr>
      <w:r>
        <w:rPr>
          <w:rFonts w:hint="eastAsia" w:asciiTheme="majorEastAsia" w:hAnsiTheme="majorEastAsia" w:eastAsiaTheme="majorEastAsia" w:cstheme="majorEastAsia"/>
          <w:b/>
          <w:color w:val="auto"/>
          <w:sz w:val="24"/>
          <w:szCs w:val="24"/>
        </w:rPr>
        <w:t>202</w:t>
      </w:r>
      <w:r>
        <w:rPr>
          <w:rFonts w:hint="eastAsia" w:asciiTheme="majorEastAsia" w:hAnsiTheme="majorEastAsia" w:eastAsiaTheme="majorEastAsia" w:cstheme="majorEastAsia"/>
          <w:b/>
          <w:color w:val="auto"/>
          <w:sz w:val="24"/>
          <w:szCs w:val="24"/>
          <w:lang w:val="en-US" w:eastAsia="zh-CN"/>
        </w:rPr>
        <w:t>4</w:t>
      </w:r>
      <w:r>
        <w:rPr>
          <w:rFonts w:hint="eastAsia" w:asciiTheme="majorEastAsia" w:hAnsiTheme="majorEastAsia" w:eastAsiaTheme="majorEastAsia" w:cstheme="majorEastAsia"/>
          <w:b/>
          <w:color w:val="auto"/>
          <w:sz w:val="24"/>
          <w:szCs w:val="24"/>
        </w:rPr>
        <w:t>年</w:t>
      </w:r>
      <w:r>
        <w:rPr>
          <w:rFonts w:asciiTheme="majorEastAsia" w:hAnsiTheme="majorEastAsia" w:eastAsiaTheme="majorEastAsia" w:cstheme="majorEastAsia"/>
          <w:b/>
          <w:color w:val="auto"/>
          <w:sz w:val="24"/>
          <w:szCs w:val="24"/>
        </w:rPr>
        <w:t>1</w:t>
      </w:r>
      <w:r>
        <w:rPr>
          <w:rFonts w:hint="eastAsia" w:asciiTheme="majorEastAsia" w:hAnsiTheme="majorEastAsia" w:eastAsiaTheme="majorEastAsia" w:cstheme="majorEastAsia"/>
          <w:b/>
          <w:color w:val="auto"/>
          <w:sz w:val="24"/>
          <w:szCs w:val="24"/>
          <w:lang w:val="en-US" w:eastAsia="zh-CN"/>
        </w:rPr>
        <w:t>2</w:t>
      </w:r>
      <w:r>
        <w:rPr>
          <w:rFonts w:hint="eastAsia" w:asciiTheme="majorEastAsia" w:hAnsiTheme="majorEastAsia" w:eastAsiaTheme="majorEastAsia" w:cstheme="majorEastAsia"/>
          <w:b/>
          <w:color w:val="auto"/>
          <w:sz w:val="24"/>
          <w:szCs w:val="24"/>
        </w:rPr>
        <w:t>月：</w:t>
      </w:r>
      <w:r>
        <w:rPr>
          <w:rFonts w:hint="eastAsia" w:ascii="宋体" w:hAnsi="宋体" w:eastAsia="宋体" w:cs="宋体"/>
          <w:sz w:val="24"/>
          <w:szCs w:val="24"/>
        </w:rPr>
        <w:t>申请立项并上报标准的</w:t>
      </w:r>
      <w:r>
        <w:rPr>
          <w:rFonts w:hint="eastAsia" w:ascii="宋体" w:hAnsi="宋体" w:eastAsia="宋体" w:cs="宋体"/>
          <w:b/>
          <w:sz w:val="24"/>
          <w:szCs w:val="24"/>
        </w:rPr>
        <w:t>草案稿和项目建议书</w:t>
      </w:r>
      <w:r>
        <w:rPr>
          <w:rFonts w:hint="eastAsia" w:ascii="宋体" w:hAnsi="宋体" w:eastAsia="宋体" w:cs="宋体"/>
          <w:bCs/>
          <w:sz w:val="24"/>
          <w:szCs w:val="24"/>
        </w:rPr>
        <w:t>。</w:t>
      </w:r>
    </w:p>
    <w:p w14:paraId="6D2A5028">
      <w:pPr>
        <w:spacing w:line="400" w:lineRule="exact"/>
        <w:ind w:firstLine="482" w:firstLineChars="200"/>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b/>
          <w:color w:val="auto"/>
          <w:sz w:val="24"/>
          <w:szCs w:val="24"/>
        </w:rPr>
        <w:t>202</w:t>
      </w:r>
      <w:r>
        <w:rPr>
          <w:rFonts w:hint="eastAsia" w:asciiTheme="majorEastAsia" w:hAnsiTheme="majorEastAsia" w:eastAsiaTheme="majorEastAsia" w:cstheme="majorEastAsia"/>
          <w:b/>
          <w:color w:val="auto"/>
          <w:sz w:val="24"/>
          <w:szCs w:val="24"/>
          <w:lang w:val="en-US" w:eastAsia="zh-CN"/>
        </w:rPr>
        <w:t>5</w:t>
      </w:r>
      <w:r>
        <w:rPr>
          <w:rFonts w:hint="eastAsia" w:asciiTheme="majorEastAsia" w:hAnsiTheme="majorEastAsia" w:eastAsiaTheme="majorEastAsia" w:cstheme="majorEastAsia"/>
          <w:b/>
          <w:color w:val="auto"/>
          <w:sz w:val="24"/>
          <w:szCs w:val="24"/>
        </w:rPr>
        <w:t>年</w:t>
      </w:r>
      <w:r>
        <w:rPr>
          <w:rFonts w:hint="eastAsia" w:asciiTheme="majorEastAsia" w:hAnsiTheme="majorEastAsia" w:eastAsiaTheme="majorEastAsia" w:cstheme="majorEastAsia"/>
          <w:b/>
          <w:color w:val="auto"/>
          <w:sz w:val="24"/>
          <w:szCs w:val="24"/>
          <w:lang w:val="en-US" w:eastAsia="zh-CN"/>
        </w:rPr>
        <w:t>1</w:t>
      </w:r>
      <w:r>
        <w:rPr>
          <w:rFonts w:hint="eastAsia" w:asciiTheme="majorEastAsia" w:hAnsiTheme="majorEastAsia" w:eastAsiaTheme="majorEastAsia" w:cstheme="majorEastAsia"/>
          <w:b/>
          <w:color w:val="auto"/>
          <w:sz w:val="24"/>
          <w:szCs w:val="24"/>
        </w:rPr>
        <w:t>月：</w:t>
      </w:r>
      <w:r>
        <w:rPr>
          <w:rFonts w:hint="eastAsia" w:ascii="宋体" w:hAnsi="宋体" w:eastAsia="宋体" w:cs="宋体"/>
          <w:sz w:val="24"/>
          <w:szCs w:val="24"/>
        </w:rPr>
        <w:t>中国仪器仪表行业协会组织召开立项评审会，会后下达了会后下达了立项批复</w:t>
      </w:r>
      <w:r>
        <w:rPr>
          <w:rFonts w:hint="eastAsia" w:ascii="宋体" w:hAnsi="宋体" w:eastAsia="宋体" w:cs="宋体"/>
          <w:sz w:val="24"/>
          <w:szCs w:val="24"/>
          <w:highlight w:val="none"/>
        </w:rPr>
        <w:t>文件。</w:t>
      </w:r>
      <w:r>
        <w:rPr>
          <w:rFonts w:hint="eastAsia" w:asciiTheme="majorEastAsia" w:hAnsiTheme="majorEastAsia" w:eastAsiaTheme="majorEastAsia" w:cstheme="majorEastAsia"/>
          <w:color w:val="auto"/>
          <w:sz w:val="24"/>
          <w:szCs w:val="24"/>
        </w:rPr>
        <w:t>由</w:t>
      </w:r>
      <w:r>
        <w:rPr>
          <w:rFonts w:hint="eastAsia" w:asciiTheme="majorEastAsia" w:hAnsiTheme="majorEastAsia" w:eastAsiaTheme="majorEastAsia" w:cstheme="majorEastAsia"/>
          <w:color w:val="auto"/>
          <w:sz w:val="24"/>
          <w:szCs w:val="24"/>
          <w:lang w:val="en-US" w:eastAsia="zh-CN"/>
        </w:rPr>
        <w:t>国网安徽省电力有限公司营销服务中心</w:t>
      </w:r>
      <w:r>
        <w:rPr>
          <w:rFonts w:hint="eastAsia" w:asciiTheme="majorEastAsia" w:hAnsiTheme="majorEastAsia" w:eastAsiaTheme="majorEastAsia" w:cstheme="majorEastAsia"/>
          <w:color w:val="auto"/>
          <w:sz w:val="24"/>
          <w:szCs w:val="24"/>
        </w:rPr>
        <w:t>牵头，组织</w:t>
      </w:r>
      <w:r>
        <w:rPr>
          <w:rFonts w:hint="eastAsia" w:asciiTheme="majorEastAsia" w:hAnsiTheme="majorEastAsia" w:eastAsiaTheme="majorEastAsia" w:cstheme="majorEastAsia"/>
          <w:b/>
          <w:color w:val="auto"/>
          <w:sz w:val="24"/>
          <w:szCs w:val="24"/>
        </w:rPr>
        <w:t>成立标准起草工作组</w:t>
      </w:r>
      <w:r>
        <w:rPr>
          <w:rFonts w:hint="eastAsia" w:asciiTheme="majorEastAsia" w:hAnsiTheme="majorEastAsia" w:eastAsiaTheme="majorEastAsia" w:cstheme="majorEastAsia"/>
          <w:color w:val="auto"/>
          <w:sz w:val="24"/>
          <w:szCs w:val="24"/>
        </w:rPr>
        <w:t>。</w:t>
      </w:r>
    </w:p>
    <w:p w14:paraId="5DF48177">
      <w:pPr>
        <w:spacing w:line="360" w:lineRule="auto"/>
        <w:ind w:firstLine="482" w:firstLineChars="200"/>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b/>
          <w:color w:val="auto"/>
          <w:sz w:val="24"/>
          <w:szCs w:val="24"/>
        </w:rPr>
        <w:t>202</w:t>
      </w:r>
      <w:r>
        <w:rPr>
          <w:rFonts w:hint="eastAsia" w:asciiTheme="majorEastAsia" w:hAnsiTheme="majorEastAsia" w:eastAsiaTheme="majorEastAsia" w:cstheme="majorEastAsia"/>
          <w:b/>
          <w:color w:val="auto"/>
          <w:sz w:val="24"/>
          <w:szCs w:val="24"/>
          <w:lang w:val="en-US" w:eastAsia="zh-CN"/>
        </w:rPr>
        <w:t>5</w:t>
      </w:r>
      <w:r>
        <w:rPr>
          <w:rFonts w:hint="eastAsia" w:asciiTheme="majorEastAsia" w:hAnsiTheme="majorEastAsia" w:eastAsiaTheme="majorEastAsia" w:cstheme="majorEastAsia"/>
          <w:b/>
          <w:color w:val="auto"/>
          <w:sz w:val="24"/>
          <w:szCs w:val="24"/>
        </w:rPr>
        <w:t>年</w:t>
      </w:r>
      <w:r>
        <w:rPr>
          <w:rFonts w:hint="eastAsia" w:asciiTheme="majorEastAsia" w:hAnsiTheme="majorEastAsia" w:eastAsiaTheme="majorEastAsia" w:cstheme="majorEastAsia"/>
          <w:b/>
          <w:color w:val="auto"/>
          <w:sz w:val="24"/>
          <w:szCs w:val="24"/>
          <w:lang w:val="en-US" w:eastAsia="zh-CN"/>
        </w:rPr>
        <w:t>2</w:t>
      </w:r>
      <w:r>
        <w:rPr>
          <w:rFonts w:hint="eastAsia" w:asciiTheme="majorEastAsia" w:hAnsiTheme="majorEastAsia" w:eastAsiaTheme="majorEastAsia" w:cstheme="majorEastAsia"/>
          <w:b/>
          <w:color w:val="auto"/>
          <w:sz w:val="24"/>
          <w:szCs w:val="24"/>
        </w:rPr>
        <w:t>月：</w:t>
      </w:r>
      <w:r>
        <w:rPr>
          <w:rFonts w:hint="eastAsia" w:ascii="宋体" w:hAnsi="宋体" w:eastAsia="宋体" w:cs="宋体"/>
          <w:sz w:val="24"/>
          <w:szCs w:val="24"/>
        </w:rPr>
        <w:t>启动团体标准制定工作。起草组严格按照GB/T 1.1-2020《标准化工作导则 第1部分：标准化文件的结构和起草规则》等文件的要求进行标准制定并形成了</w:t>
      </w:r>
      <w:r>
        <w:rPr>
          <w:rFonts w:hint="eastAsia" w:ascii="宋体" w:hAnsi="宋体" w:eastAsia="宋体" w:cs="宋体"/>
          <w:b/>
          <w:bCs/>
          <w:sz w:val="24"/>
          <w:szCs w:val="24"/>
        </w:rPr>
        <w:t>工作组讨论稿</w:t>
      </w:r>
      <w:r>
        <w:rPr>
          <w:rFonts w:hint="eastAsia" w:ascii="宋体" w:hAnsi="宋体" w:eastAsia="宋体" w:cs="宋体"/>
          <w:sz w:val="24"/>
          <w:szCs w:val="24"/>
        </w:rPr>
        <w:t>。</w:t>
      </w:r>
    </w:p>
    <w:p w14:paraId="19FC043A">
      <w:pPr>
        <w:spacing w:line="400" w:lineRule="exact"/>
        <w:ind w:firstLine="472" w:firstLineChars="196"/>
        <w:rPr>
          <w:rFonts w:hint="eastAsia" w:asciiTheme="majorEastAsia" w:hAnsiTheme="majorEastAsia" w:eastAsiaTheme="majorEastAsia" w:cstheme="majorEastAsia"/>
          <w:color w:val="auto"/>
          <w:sz w:val="24"/>
          <w:szCs w:val="24"/>
        </w:rPr>
      </w:pPr>
      <w:bookmarkStart w:id="0" w:name="_Hlk17657671"/>
      <w:r>
        <w:rPr>
          <w:rFonts w:hint="eastAsia" w:asciiTheme="majorEastAsia" w:hAnsiTheme="majorEastAsia" w:eastAsiaTheme="majorEastAsia" w:cstheme="majorEastAsia"/>
          <w:b/>
          <w:color w:val="auto"/>
          <w:sz w:val="24"/>
          <w:szCs w:val="24"/>
        </w:rPr>
        <w:t>202</w:t>
      </w:r>
      <w:r>
        <w:rPr>
          <w:rFonts w:hint="eastAsia" w:asciiTheme="majorEastAsia" w:hAnsiTheme="majorEastAsia" w:eastAsiaTheme="majorEastAsia" w:cstheme="majorEastAsia"/>
          <w:b/>
          <w:color w:val="auto"/>
          <w:sz w:val="24"/>
          <w:szCs w:val="24"/>
          <w:lang w:val="en-US" w:eastAsia="zh-CN"/>
        </w:rPr>
        <w:t>5</w:t>
      </w:r>
      <w:r>
        <w:rPr>
          <w:rFonts w:hint="eastAsia" w:asciiTheme="majorEastAsia" w:hAnsiTheme="majorEastAsia" w:eastAsiaTheme="majorEastAsia" w:cstheme="majorEastAsia"/>
          <w:b/>
          <w:color w:val="auto"/>
          <w:sz w:val="24"/>
          <w:szCs w:val="24"/>
        </w:rPr>
        <w:t>年4月</w:t>
      </w:r>
      <w:bookmarkEnd w:id="0"/>
      <w:r>
        <w:rPr>
          <w:rFonts w:hint="eastAsia" w:asciiTheme="majorEastAsia" w:hAnsiTheme="majorEastAsia" w:eastAsiaTheme="majorEastAsia" w:cstheme="majorEastAsia"/>
          <w:color w:val="auto"/>
          <w:sz w:val="24"/>
          <w:szCs w:val="24"/>
        </w:rPr>
        <w:t>：工作组讨论稿在标准编制工作组内部第一次征求意见，共回收意见</w:t>
      </w:r>
      <w:r>
        <w:rPr>
          <w:rFonts w:hint="eastAsia" w:asciiTheme="majorEastAsia" w:hAnsiTheme="majorEastAsia" w:eastAsiaTheme="majorEastAsia" w:cstheme="majorEastAsia"/>
          <w:color w:val="auto"/>
          <w:sz w:val="24"/>
          <w:szCs w:val="24"/>
          <w:lang w:val="en-US" w:eastAsia="zh-CN"/>
        </w:rPr>
        <w:t>47</w:t>
      </w:r>
      <w:r>
        <w:rPr>
          <w:rFonts w:hint="eastAsia" w:asciiTheme="majorEastAsia" w:hAnsiTheme="majorEastAsia" w:eastAsiaTheme="majorEastAsia" w:cstheme="majorEastAsia"/>
          <w:color w:val="auto"/>
          <w:sz w:val="24"/>
          <w:szCs w:val="24"/>
        </w:rPr>
        <w:t>条，主笔单位按照回收意见对工作组讨论稿进行了修改完善。</w:t>
      </w:r>
    </w:p>
    <w:p w14:paraId="6A0AEF21">
      <w:pPr>
        <w:spacing w:line="400" w:lineRule="exact"/>
        <w:ind w:firstLine="472" w:firstLineChars="196"/>
        <w:rPr>
          <w:rFonts w:hint="eastAsia" w:ascii="宋体" w:hAnsi="宋体" w:eastAsia="宋体" w:cs="宋体"/>
          <w:sz w:val="24"/>
          <w:szCs w:val="24"/>
        </w:rPr>
      </w:pPr>
      <w:r>
        <w:rPr>
          <w:rFonts w:hint="eastAsia" w:asciiTheme="majorEastAsia" w:hAnsiTheme="majorEastAsia" w:eastAsiaTheme="majorEastAsia" w:cstheme="majorEastAsia"/>
          <w:b/>
          <w:color w:val="auto"/>
          <w:sz w:val="24"/>
          <w:szCs w:val="24"/>
        </w:rPr>
        <w:t>202</w:t>
      </w:r>
      <w:r>
        <w:rPr>
          <w:rFonts w:hint="eastAsia" w:asciiTheme="majorEastAsia" w:hAnsiTheme="majorEastAsia" w:eastAsiaTheme="majorEastAsia" w:cstheme="majorEastAsia"/>
          <w:b/>
          <w:color w:val="auto"/>
          <w:sz w:val="24"/>
          <w:szCs w:val="24"/>
          <w:lang w:val="en-US" w:eastAsia="zh-CN"/>
        </w:rPr>
        <w:t>5</w:t>
      </w:r>
      <w:r>
        <w:rPr>
          <w:rFonts w:hint="eastAsia" w:asciiTheme="majorEastAsia" w:hAnsiTheme="majorEastAsia" w:eastAsiaTheme="majorEastAsia" w:cstheme="majorEastAsia"/>
          <w:b/>
          <w:color w:val="auto"/>
          <w:sz w:val="24"/>
          <w:szCs w:val="24"/>
        </w:rPr>
        <w:t>年</w:t>
      </w:r>
      <w:r>
        <w:rPr>
          <w:rFonts w:hint="eastAsia" w:asciiTheme="majorEastAsia" w:hAnsiTheme="majorEastAsia" w:eastAsiaTheme="majorEastAsia" w:cstheme="majorEastAsia"/>
          <w:b/>
          <w:color w:val="auto"/>
          <w:sz w:val="24"/>
          <w:szCs w:val="24"/>
          <w:lang w:val="en-US" w:eastAsia="zh-CN"/>
        </w:rPr>
        <w:t>6</w:t>
      </w:r>
      <w:r>
        <w:rPr>
          <w:rFonts w:hint="eastAsia" w:asciiTheme="majorEastAsia" w:hAnsiTheme="majorEastAsia" w:eastAsiaTheme="majorEastAsia" w:cstheme="majorEastAsia"/>
          <w:b/>
          <w:color w:val="auto"/>
          <w:sz w:val="24"/>
          <w:szCs w:val="24"/>
        </w:rPr>
        <w:t>月：</w:t>
      </w:r>
      <w:r>
        <w:rPr>
          <w:rFonts w:hint="eastAsia" w:ascii="宋体" w:hAnsi="宋体" w:eastAsia="宋体" w:cs="宋体"/>
          <w:sz w:val="24"/>
          <w:szCs w:val="24"/>
        </w:rPr>
        <w:t>起草工作组</w:t>
      </w:r>
      <w:r>
        <w:rPr>
          <w:rFonts w:hint="eastAsia" w:asciiTheme="majorEastAsia" w:hAnsiTheme="majorEastAsia" w:eastAsiaTheme="majorEastAsia" w:cstheme="majorEastAsia"/>
          <w:color w:val="auto"/>
          <w:sz w:val="24"/>
          <w:szCs w:val="24"/>
        </w:rPr>
        <w:t>在</w:t>
      </w:r>
      <w:r>
        <w:rPr>
          <w:rFonts w:hint="eastAsia" w:asciiTheme="majorEastAsia" w:hAnsiTheme="majorEastAsia" w:eastAsiaTheme="majorEastAsia" w:cstheme="majorEastAsia"/>
          <w:color w:val="auto"/>
          <w:sz w:val="24"/>
          <w:szCs w:val="24"/>
          <w:lang w:val="en-US" w:eastAsia="zh-CN"/>
        </w:rPr>
        <w:t>安徽省池州市</w:t>
      </w:r>
      <w:r>
        <w:rPr>
          <w:rFonts w:hint="eastAsia" w:asciiTheme="majorEastAsia" w:hAnsiTheme="majorEastAsia" w:eastAsiaTheme="majorEastAsia" w:cstheme="majorEastAsia"/>
          <w:color w:val="auto"/>
          <w:sz w:val="24"/>
          <w:szCs w:val="24"/>
        </w:rPr>
        <w:t>召开</w:t>
      </w:r>
      <w:r>
        <w:rPr>
          <w:rFonts w:hint="eastAsia" w:asciiTheme="majorEastAsia" w:hAnsiTheme="majorEastAsia" w:eastAsiaTheme="majorEastAsia" w:cstheme="majorEastAsia"/>
          <w:b/>
          <w:bCs/>
          <w:color w:val="auto"/>
          <w:sz w:val="24"/>
          <w:szCs w:val="24"/>
        </w:rPr>
        <w:t>起草第一次工作组会议</w:t>
      </w:r>
      <w:r>
        <w:rPr>
          <w:rFonts w:hint="eastAsia" w:asciiTheme="majorEastAsia" w:hAnsiTheme="majorEastAsia" w:eastAsiaTheme="majorEastAsia" w:cstheme="majorEastAsia"/>
          <w:color w:val="auto"/>
          <w:sz w:val="24"/>
          <w:szCs w:val="24"/>
        </w:rPr>
        <w:t>，</w:t>
      </w:r>
      <w:r>
        <w:rPr>
          <w:rFonts w:hint="eastAsia" w:ascii="宋体" w:hAnsi="宋体" w:eastAsia="宋体" w:cs="宋体"/>
          <w:sz w:val="24"/>
          <w:szCs w:val="24"/>
        </w:rPr>
        <w:t>对</w:t>
      </w:r>
      <w:r>
        <w:rPr>
          <w:rFonts w:hint="eastAsia" w:ascii="宋体" w:hAnsi="宋体" w:eastAsia="宋体" w:cs="宋体"/>
          <w:bCs/>
          <w:sz w:val="24"/>
          <w:szCs w:val="24"/>
        </w:rPr>
        <w:t>工作组讨论</w:t>
      </w:r>
      <w:r>
        <w:rPr>
          <w:rFonts w:hint="eastAsia" w:ascii="宋体" w:hAnsi="宋体" w:eastAsia="宋体" w:cs="宋体"/>
          <w:sz w:val="24"/>
          <w:szCs w:val="24"/>
        </w:rPr>
        <w:t>稿的标准化对象、结构进行了认真、细致的逐条讨论，并对主要技术内容达成了一致意见，形成会议纪要。</w:t>
      </w:r>
    </w:p>
    <w:p w14:paraId="00054FE5">
      <w:pPr>
        <w:pStyle w:val="52"/>
        <w:spacing w:line="360" w:lineRule="auto"/>
        <w:ind w:firstLine="482"/>
        <w:rPr>
          <w:rFonts w:hint="eastAsia" w:ascii="宋体" w:hAnsi="宋体" w:eastAsia="宋体" w:cs="宋体"/>
          <w:sz w:val="24"/>
          <w:szCs w:val="24"/>
        </w:rPr>
      </w:pPr>
      <w:r>
        <w:rPr>
          <w:rFonts w:hint="eastAsia" w:asciiTheme="majorEastAsia" w:hAnsiTheme="majorEastAsia" w:eastAsiaTheme="majorEastAsia" w:cstheme="majorEastAsia"/>
          <w:b/>
          <w:bCs/>
          <w:color w:val="auto"/>
          <w:sz w:val="24"/>
          <w:szCs w:val="24"/>
        </w:rPr>
        <w:t>202</w:t>
      </w:r>
      <w:r>
        <w:rPr>
          <w:rFonts w:hint="eastAsia" w:asciiTheme="majorEastAsia" w:hAnsiTheme="majorEastAsia" w:eastAsiaTheme="majorEastAsia" w:cstheme="majorEastAsia"/>
          <w:b/>
          <w:bCs/>
          <w:color w:val="auto"/>
          <w:sz w:val="24"/>
          <w:szCs w:val="24"/>
          <w:lang w:val="en-US" w:eastAsia="zh-CN"/>
        </w:rPr>
        <w:t>5</w:t>
      </w:r>
      <w:r>
        <w:rPr>
          <w:rFonts w:hint="eastAsia" w:asciiTheme="majorEastAsia" w:hAnsiTheme="majorEastAsia" w:eastAsiaTheme="majorEastAsia" w:cstheme="majorEastAsia"/>
          <w:b/>
          <w:bCs/>
          <w:color w:val="auto"/>
          <w:sz w:val="24"/>
          <w:szCs w:val="24"/>
        </w:rPr>
        <w:t>年</w:t>
      </w:r>
      <w:r>
        <w:rPr>
          <w:rFonts w:hint="eastAsia" w:asciiTheme="majorEastAsia" w:hAnsiTheme="majorEastAsia" w:eastAsiaTheme="majorEastAsia" w:cstheme="majorEastAsia"/>
          <w:b/>
          <w:bCs/>
          <w:color w:val="auto"/>
          <w:sz w:val="24"/>
          <w:szCs w:val="24"/>
          <w:lang w:val="en-US" w:eastAsia="zh-CN"/>
        </w:rPr>
        <w:t>7</w:t>
      </w:r>
      <w:r>
        <w:rPr>
          <w:rFonts w:hint="eastAsia" w:asciiTheme="majorEastAsia" w:hAnsiTheme="majorEastAsia" w:eastAsiaTheme="majorEastAsia" w:cstheme="majorEastAsia"/>
          <w:b/>
          <w:bCs/>
          <w:color w:val="auto"/>
          <w:sz w:val="24"/>
          <w:szCs w:val="24"/>
        </w:rPr>
        <w:t>-2025年</w:t>
      </w:r>
      <w:r>
        <w:rPr>
          <w:rFonts w:hint="eastAsia" w:asciiTheme="majorEastAsia" w:hAnsiTheme="majorEastAsia" w:eastAsiaTheme="majorEastAsia" w:cstheme="majorEastAsia"/>
          <w:b/>
          <w:bCs/>
          <w:color w:val="auto"/>
          <w:sz w:val="24"/>
          <w:szCs w:val="24"/>
          <w:lang w:val="en-US" w:eastAsia="zh-CN"/>
        </w:rPr>
        <w:t>8</w:t>
      </w:r>
      <w:r>
        <w:rPr>
          <w:rFonts w:hint="eastAsia" w:asciiTheme="majorEastAsia" w:hAnsiTheme="majorEastAsia" w:eastAsiaTheme="majorEastAsia" w:cstheme="majorEastAsia"/>
          <w:b/>
          <w:bCs/>
          <w:color w:val="auto"/>
          <w:sz w:val="24"/>
          <w:szCs w:val="24"/>
        </w:rPr>
        <w:t>月：</w:t>
      </w:r>
      <w:r>
        <w:rPr>
          <w:rFonts w:hint="eastAsia" w:ascii="宋体" w:hAnsi="宋体" w:eastAsia="宋体" w:cs="宋体"/>
          <w:sz w:val="24"/>
          <w:szCs w:val="24"/>
        </w:rPr>
        <w:t>形成工作组讨论稿，开展第二次征求意见，共回收意见</w:t>
      </w:r>
      <w:r>
        <w:rPr>
          <w:rFonts w:hint="eastAsia" w:ascii="宋体" w:hAnsi="宋体" w:cs="宋体"/>
          <w:sz w:val="24"/>
          <w:szCs w:val="24"/>
          <w:lang w:val="en-US" w:eastAsia="zh-CN"/>
        </w:rPr>
        <w:t>13</w:t>
      </w:r>
      <w:r>
        <w:rPr>
          <w:rFonts w:hint="eastAsia" w:ascii="宋体" w:hAnsi="宋体" w:eastAsia="宋体" w:cs="宋体"/>
          <w:sz w:val="24"/>
          <w:szCs w:val="24"/>
        </w:rPr>
        <w:t>条，主笔单位按照回收意见对工作组讨论稿进行了修改完善。</w:t>
      </w:r>
    </w:p>
    <w:p w14:paraId="7DA084FC">
      <w:pPr>
        <w:spacing w:line="400" w:lineRule="exact"/>
        <w:ind w:firstLine="472" w:firstLineChars="196"/>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b/>
          <w:bCs/>
          <w:color w:val="auto"/>
          <w:sz w:val="24"/>
          <w:szCs w:val="24"/>
        </w:rPr>
        <w:t>2025年</w:t>
      </w:r>
      <w:r>
        <w:rPr>
          <w:rFonts w:hint="eastAsia" w:asciiTheme="majorEastAsia" w:hAnsiTheme="majorEastAsia" w:eastAsiaTheme="majorEastAsia" w:cstheme="majorEastAsia"/>
          <w:b/>
          <w:bCs/>
          <w:color w:val="auto"/>
          <w:sz w:val="24"/>
          <w:szCs w:val="24"/>
          <w:lang w:val="en-US" w:eastAsia="zh-CN"/>
        </w:rPr>
        <w:t>9</w:t>
      </w:r>
      <w:r>
        <w:rPr>
          <w:rFonts w:hint="eastAsia" w:asciiTheme="majorEastAsia" w:hAnsiTheme="majorEastAsia" w:eastAsiaTheme="majorEastAsia" w:cstheme="majorEastAsia"/>
          <w:b/>
          <w:bCs/>
          <w:color w:val="auto"/>
          <w:sz w:val="24"/>
          <w:szCs w:val="24"/>
        </w:rPr>
        <w:t>月：</w:t>
      </w:r>
      <w:r>
        <w:rPr>
          <w:rFonts w:hint="eastAsia" w:asciiTheme="majorEastAsia" w:hAnsiTheme="majorEastAsia" w:eastAsiaTheme="majorEastAsia" w:cstheme="majorEastAsia"/>
          <w:color w:val="auto"/>
          <w:sz w:val="24"/>
          <w:szCs w:val="24"/>
          <w:lang w:val="en-US" w:eastAsia="zh-CN"/>
        </w:rPr>
        <w:t>起草工作组</w:t>
      </w:r>
      <w:r>
        <w:rPr>
          <w:rFonts w:hint="eastAsia" w:asciiTheme="majorEastAsia" w:hAnsiTheme="majorEastAsia" w:eastAsiaTheme="majorEastAsia" w:cstheme="majorEastAsia"/>
          <w:color w:val="auto"/>
          <w:sz w:val="24"/>
          <w:szCs w:val="24"/>
        </w:rPr>
        <w:t>在</w:t>
      </w:r>
      <w:r>
        <w:rPr>
          <w:rFonts w:hint="eastAsia" w:asciiTheme="majorEastAsia" w:hAnsiTheme="majorEastAsia" w:eastAsiaTheme="majorEastAsia" w:cstheme="majorEastAsia"/>
          <w:color w:val="auto"/>
          <w:sz w:val="24"/>
          <w:szCs w:val="24"/>
          <w:lang w:val="en-US" w:eastAsia="zh-CN"/>
        </w:rPr>
        <w:t>安徽省合肥市</w:t>
      </w:r>
      <w:r>
        <w:rPr>
          <w:rFonts w:hint="eastAsia" w:asciiTheme="majorEastAsia" w:hAnsiTheme="majorEastAsia" w:eastAsiaTheme="majorEastAsia" w:cstheme="majorEastAsia"/>
          <w:color w:val="auto"/>
          <w:sz w:val="24"/>
          <w:szCs w:val="24"/>
        </w:rPr>
        <w:t>召开</w:t>
      </w:r>
      <w:r>
        <w:rPr>
          <w:rFonts w:hint="eastAsia" w:asciiTheme="majorEastAsia" w:hAnsiTheme="majorEastAsia" w:eastAsiaTheme="majorEastAsia" w:cstheme="majorEastAsia"/>
          <w:b/>
          <w:bCs/>
          <w:color w:val="auto"/>
          <w:sz w:val="24"/>
          <w:szCs w:val="24"/>
        </w:rPr>
        <w:t>起草工作组第二次会议</w:t>
      </w:r>
      <w:r>
        <w:rPr>
          <w:rFonts w:hint="eastAsia" w:asciiTheme="majorEastAsia" w:hAnsiTheme="majorEastAsia" w:eastAsiaTheme="majorEastAsia" w:cstheme="majorEastAsia"/>
          <w:color w:val="auto"/>
          <w:sz w:val="24"/>
          <w:szCs w:val="24"/>
        </w:rPr>
        <w:t>，对标准工作组讨论稿以及所征求的意见内容进行了仔细讨论，形成会议纪要。</w:t>
      </w:r>
    </w:p>
    <w:p w14:paraId="4C72BC75">
      <w:pPr>
        <w:spacing w:line="400" w:lineRule="exact"/>
        <w:ind w:firstLine="472" w:firstLineChars="196"/>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b/>
          <w:bCs/>
          <w:color w:val="auto"/>
          <w:sz w:val="24"/>
          <w:szCs w:val="24"/>
        </w:rPr>
        <w:t>2025年</w:t>
      </w:r>
      <w:r>
        <w:rPr>
          <w:rFonts w:hint="eastAsia" w:asciiTheme="majorEastAsia" w:hAnsiTheme="majorEastAsia" w:eastAsiaTheme="majorEastAsia" w:cstheme="majorEastAsia"/>
          <w:b/>
          <w:bCs/>
          <w:color w:val="auto"/>
          <w:sz w:val="24"/>
          <w:szCs w:val="24"/>
          <w:lang w:val="en-US" w:eastAsia="zh-CN"/>
        </w:rPr>
        <w:t>9</w:t>
      </w:r>
      <w:r>
        <w:rPr>
          <w:rFonts w:hint="eastAsia" w:asciiTheme="majorEastAsia" w:hAnsiTheme="majorEastAsia" w:eastAsiaTheme="majorEastAsia" w:cstheme="majorEastAsia"/>
          <w:b/>
          <w:bCs/>
          <w:color w:val="auto"/>
          <w:sz w:val="24"/>
          <w:szCs w:val="24"/>
        </w:rPr>
        <w:t>月</w:t>
      </w:r>
      <w:r>
        <w:rPr>
          <w:rFonts w:hint="eastAsia" w:asciiTheme="majorEastAsia" w:hAnsiTheme="majorEastAsia" w:eastAsiaTheme="majorEastAsia" w:cstheme="majorEastAsia"/>
          <w:color w:val="auto"/>
          <w:sz w:val="24"/>
          <w:szCs w:val="24"/>
        </w:rPr>
        <w:t>，形成征求意见稿。</w:t>
      </w:r>
    </w:p>
    <w:p w14:paraId="63A189BC">
      <w:pPr>
        <w:pStyle w:val="3"/>
        <w:spacing w:line="400" w:lineRule="exact"/>
        <w:rPr>
          <w:rFonts w:hint="eastAsia" w:ascii="宋体" w:hAnsi="宋体" w:cs="宋体"/>
          <w:sz w:val="28"/>
          <w:szCs w:val="28"/>
        </w:rPr>
      </w:pPr>
      <w:r>
        <w:rPr>
          <w:rFonts w:hint="eastAsia" w:ascii="宋体" w:hAnsi="宋体" w:cs="宋体"/>
          <w:sz w:val="28"/>
          <w:szCs w:val="28"/>
        </w:rPr>
        <w:t>3  主要参加单位和工作组成员及其所做的工作</w:t>
      </w:r>
    </w:p>
    <w:p w14:paraId="15605E95">
      <w:pPr>
        <w:spacing w:line="400" w:lineRule="exact"/>
        <w:ind w:firstLine="480" w:firstLineChars="200"/>
        <w:rPr>
          <w:rFonts w:hint="eastAsia" w:asciiTheme="majorEastAsia" w:hAnsiTheme="majorEastAsia" w:eastAsiaTheme="majorEastAsia" w:cstheme="majorEastAsia"/>
          <w:sz w:val="24"/>
          <w:szCs w:val="24"/>
          <w:lang w:val="en-US" w:eastAsia="zh-CN"/>
        </w:rPr>
      </w:pPr>
      <w:r>
        <w:rPr>
          <w:rFonts w:ascii="Times New Roman" w:hAnsi="Times New Roman"/>
          <w:sz w:val="24"/>
          <w:szCs w:val="24"/>
        </w:rPr>
        <w:t>牵头起草单</w:t>
      </w:r>
      <w:r>
        <w:rPr>
          <w:rFonts w:hint="eastAsia" w:asciiTheme="majorEastAsia" w:hAnsiTheme="majorEastAsia" w:eastAsiaTheme="majorEastAsia" w:cstheme="majorEastAsia"/>
          <w:sz w:val="24"/>
          <w:szCs w:val="24"/>
          <w:lang w:val="en-US" w:eastAsia="zh-CN"/>
        </w:rPr>
        <w:t>位是国网安徽省电力有限公司营销服务中心，主要起草单位有哈尔滨电工仪表研究所有限公司、国网安徽省电力有限公司、中国能源建设集团安徽省电力设计院有限公司、合肥工业大学、国网安徽综合能源服务有限公司、国网省电力有限公司经济技术研究院、国网宁夏电力有限公司中卫供电公司、安徽南瑞中天电力电子有限公司、威胜集团有限公司等。</w:t>
      </w:r>
    </w:p>
    <w:p w14:paraId="6DAA8DB2">
      <w:pPr>
        <w:spacing w:line="400" w:lineRule="exact"/>
        <w:ind w:firstLine="480" w:firstLineChars="200"/>
        <w:rPr>
          <w:rFonts w:ascii="Times New Roman"/>
          <w:sz w:val="24"/>
          <w:szCs w:val="24"/>
        </w:rPr>
      </w:pPr>
      <w:r>
        <w:rPr>
          <w:rFonts w:hint="eastAsia" w:asciiTheme="majorEastAsia" w:hAnsiTheme="majorEastAsia" w:eastAsiaTheme="majorEastAsia" w:cstheme="majorEastAsia"/>
          <w:sz w:val="24"/>
          <w:szCs w:val="24"/>
          <w:lang w:val="en-US" w:eastAsia="zh-CN"/>
        </w:rPr>
        <w:t>国网安徽省电力有限公司营销服务中心</w:t>
      </w:r>
      <w:r>
        <w:rPr>
          <w:rFonts w:ascii="Times New Roman"/>
          <w:sz w:val="24"/>
          <w:szCs w:val="24"/>
        </w:rPr>
        <w:t>作为执笔单位负责了本标准的工作组讨论稿和征求意见稿的起草、修改工作。</w:t>
      </w:r>
    </w:p>
    <w:p w14:paraId="2D5BCBBC">
      <w:pPr>
        <w:pStyle w:val="22"/>
        <w:spacing w:line="400" w:lineRule="exact"/>
        <w:ind w:firstLine="480"/>
        <w:rPr>
          <w:rFonts w:ascii="Times New Roman"/>
          <w:sz w:val="24"/>
          <w:szCs w:val="24"/>
        </w:rPr>
      </w:pPr>
      <w:r>
        <w:rPr>
          <w:rFonts w:ascii="Times New Roman"/>
          <w:sz w:val="24"/>
          <w:szCs w:val="24"/>
        </w:rPr>
        <w:t>本标准主要起草人：</w:t>
      </w:r>
      <w:r>
        <w:rPr>
          <w:rFonts w:hint="eastAsia" w:ascii="Calibri" w:hAnsi="宋体" w:cs="宋体"/>
          <w:kern w:val="2"/>
          <w:sz w:val="24"/>
          <w:szCs w:val="24"/>
          <w:lang w:val="en-US" w:eastAsia="zh-CN"/>
        </w:rPr>
        <w:t>蔺菲、刘辉舟、刘献成、于雷、金鑫、何海洋、张倩、单永梅、金义、张光亚、嵇爱琼、郭立勇等。</w:t>
      </w:r>
    </w:p>
    <w:p w14:paraId="51D85AEA">
      <w:pPr>
        <w:spacing w:line="360" w:lineRule="auto"/>
        <w:ind w:firstLine="480" w:firstLineChars="200"/>
        <w:rPr>
          <w:rFonts w:hint="eastAsia" w:ascii="Times New Roman" w:hAnsi="Times New Roman"/>
          <w:kern w:val="0"/>
          <w:sz w:val="24"/>
          <w:szCs w:val="24"/>
        </w:rPr>
      </w:pPr>
      <w:r>
        <w:rPr>
          <w:rFonts w:hint="eastAsia" w:hAnsi="宋体" w:cs="宋体"/>
          <w:sz w:val="24"/>
          <w:szCs w:val="24"/>
          <w:lang w:val="en-US" w:eastAsia="zh-CN"/>
        </w:rPr>
        <w:t>蔺菲</w:t>
      </w:r>
      <w:r>
        <w:rPr>
          <w:rFonts w:hint="eastAsia" w:ascii="宋体" w:hAnsi="宋体" w:eastAsia="宋体" w:cs="宋体"/>
          <w:sz w:val="24"/>
          <w:szCs w:val="24"/>
          <w:highlight w:val="none"/>
          <w:lang w:val="en-US" w:eastAsia="zh-CN"/>
        </w:rPr>
        <w:t>为本文件的主笔人，负责标准的编写；</w:t>
      </w:r>
      <w:r>
        <w:rPr>
          <w:rFonts w:hint="eastAsia" w:ascii="Times New Roman" w:hAnsi="Times New Roman"/>
          <w:kern w:val="0"/>
          <w:sz w:val="24"/>
          <w:szCs w:val="24"/>
          <w:lang w:val="en-US" w:eastAsia="zh-CN"/>
        </w:rPr>
        <w:t>刘辉舟</w:t>
      </w:r>
      <w:r>
        <w:rPr>
          <w:rFonts w:hint="eastAsia" w:ascii="宋体" w:hAnsi="宋体" w:eastAsia="宋体" w:cs="宋体"/>
          <w:sz w:val="24"/>
          <w:szCs w:val="24"/>
          <w:highlight w:val="none"/>
          <w:lang w:val="en-US" w:eastAsia="zh-CN"/>
        </w:rPr>
        <w:t>为本文件的技术负责人，为标准的总体内容进行全面指导；刘献成为本文件起草工作组的组长，金鑫为本文件起草工作组的组员，负责标准的编写进程和组织协调工作。何海洋、张倩、单永梅、金义、张光亚、嵇爱琼、郭立勇</w:t>
      </w:r>
      <w:r>
        <w:rPr>
          <w:rFonts w:hint="eastAsia" w:ascii="宋体" w:hAnsi="宋体" w:eastAsia="宋体" w:cs="宋体"/>
          <w:sz w:val="24"/>
          <w:szCs w:val="24"/>
          <w:highlight w:val="none"/>
          <w:lang w:val="en-US" w:eastAsia="zh-CN"/>
        </w:rPr>
        <w:t>等工作组成员为本标准的编写和修改工作给与大量帮助。</w:t>
      </w:r>
    </w:p>
    <w:p w14:paraId="2024CA79">
      <w:pPr>
        <w:pStyle w:val="3"/>
        <w:spacing w:line="400" w:lineRule="exact"/>
        <w:rPr>
          <w:rFonts w:hint="eastAsia" w:cs="Times New Roman" w:asciiTheme="majorEastAsia" w:hAnsiTheme="majorEastAsia" w:eastAsiaTheme="majorEastAsia"/>
          <w:sz w:val="28"/>
          <w:szCs w:val="28"/>
        </w:rPr>
      </w:pPr>
      <w:r>
        <w:rPr>
          <w:rFonts w:hint="eastAsia" w:cs="Times New Roman" w:asciiTheme="majorEastAsia" w:hAnsiTheme="majorEastAsia" w:eastAsiaTheme="majorEastAsia"/>
          <w:sz w:val="28"/>
          <w:szCs w:val="28"/>
        </w:rPr>
        <w:t>二、  标准编制原则和主要技术内容确定的依据</w:t>
      </w:r>
    </w:p>
    <w:p w14:paraId="7F6D4888">
      <w:pPr>
        <w:pStyle w:val="4"/>
        <w:spacing w:line="400" w:lineRule="exact"/>
        <w:rPr>
          <w:rFonts w:hint="eastAsia" w:ascii="宋体" w:hAnsi="宋体" w:eastAsia="宋体" w:cs="宋体"/>
          <w:b/>
          <w:bCs/>
          <w:kern w:val="0"/>
          <w:sz w:val="28"/>
          <w:szCs w:val="28"/>
          <w:lang w:val="en-US" w:eastAsia="zh-CN" w:bidi="ar-SA"/>
        </w:rPr>
      </w:pPr>
      <w:r>
        <w:rPr>
          <w:rFonts w:hint="eastAsia" w:ascii="宋体" w:hAnsi="宋体" w:eastAsia="宋体" w:cs="宋体"/>
          <w:b/>
          <w:bCs/>
          <w:kern w:val="0"/>
          <w:sz w:val="28"/>
          <w:szCs w:val="28"/>
          <w:lang w:val="en-US" w:eastAsia="zh-CN" w:bidi="ar-SA"/>
        </w:rPr>
        <w:t>1  主要阐述标准制定或修订过程遵循的基本原则</w:t>
      </w:r>
    </w:p>
    <w:p w14:paraId="5719DA95">
      <w:pPr>
        <w:spacing w:line="400" w:lineRule="exact"/>
        <w:ind w:firstLine="600" w:firstLineChars="250"/>
        <w:rPr>
          <w:rFonts w:hint="eastAsia" w:ascii="宋体" w:hAnsi="宋体" w:cs="宋体"/>
          <w:sz w:val="24"/>
          <w:szCs w:val="24"/>
        </w:rPr>
      </w:pPr>
      <w:r>
        <w:rPr>
          <w:rFonts w:hint="eastAsia" w:ascii="宋体" w:hAnsi="宋体" w:cs="宋体"/>
          <w:sz w:val="24"/>
          <w:szCs w:val="24"/>
        </w:rPr>
        <w:t>本标准从实际应用出发，充分考虑了现有相关国家标准和行业标准。编制遵循“统一性、协调性、适用性、一致性、规范性”的原则，注重标准的可操作性，本标准按照GB/T 1.1—2020《标准化工作导则  第1部分：标准化文件的结构和起草规则》的规定进行编写和表述。</w:t>
      </w:r>
    </w:p>
    <w:p w14:paraId="2F47C09F">
      <w:pPr>
        <w:pStyle w:val="4"/>
        <w:spacing w:line="400" w:lineRule="exact"/>
        <w:rPr>
          <w:rFonts w:hint="eastAsia" w:ascii="宋体" w:hAnsi="宋体" w:eastAsia="宋体" w:cs="宋体"/>
          <w:b/>
          <w:bCs/>
          <w:kern w:val="0"/>
          <w:sz w:val="28"/>
          <w:szCs w:val="28"/>
          <w:lang w:val="en-US" w:eastAsia="zh-CN" w:bidi="ar-SA"/>
        </w:rPr>
      </w:pPr>
      <w:r>
        <w:rPr>
          <w:rFonts w:hint="eastAsia" w:ascii="宋体" w:hAnsi="宋体" w:eastAsia="宋体" w:cs="宋体"/>
          <w:b/>
          <w:bCs/>
          <w:kern w:val="0"/>
          <w:sz w:val="28"/>
          <w:szCs w:val="28"/>
          <w:lang w:val="en-US" w:eastAsia="zh-CN" w:bidi="ar-SA"/>
        </w:rPr>
        <w:t>2  标准主要内容中范围、技术要求、试验方法、检验规则依据</w:t>
      </w:r>
    </w:p>
    <w:p w14:paraId="185E1F89">
      <w:pPr>
        <w:pStyle w:val="22"/>
        <w:spacing w:line="360" w:lineRule="auto"/>
        <w:ind w:firstLine="480"/>
        <w:rPr>
          <w:rFonts w:hint="eastAsia" w:hAnsi="宋体" w:eastAsia="宋体" w:cs="宋体"/>
          <w:b w:val="0"/>
          <w:bCs w:val="0"/>
          <w:sz w:val="24"/>
          <w:szCs w:val="24"/>
          <w:lang w:eastAsia="zh-CN"/>
        </w:rPr>
      </w:pPr>
      <w:r>
        <w:rPr>
          <w:rFonts w:hint="eastAsia"/>
          <w:sz w:val="24"/>
          <w:szCs w:val="24"/>
          <w:lang w:val="en-US" w:eastAsia="zh-CN"/>
        </w:rPr>
        <w:t>本文件确立了</w:t>
      </w:r>
      <w:r>
        <w:rPr>
          <w:rFonts w:hint="eastAsia"/>
          <w:sz w:val="24"/>
          <w:szCs w:val="24"/>
        </w:rPr>
        <w:t>基于电力流的</w:t>
      </w:r>
      <w:bookmarkStart w:id="1" w:name="OLE_LINK2"/>
      <w:bookmarkStart w:id="2" w:name="OLE_LINK1"/>
      <w:r>
        <w:rPr>
          <w:rFonts w:hint="eastAsia"/>
          <w:sz w:val="24"/>
          <w:szCs w:val="24"/>
        </w:rPr>
        <w:t>碳排放计量</w:t>
      </w:r>
      <w:bookmarkEnd w:id="1"/>
      <w:bookmarkEnd w:id="2"/>
      <w:r>
        <w:rPr>
          <w:rFonts w:hint="eastAsia"/>
          <w:sz w:val="24"/>
          <w:szCs w:val="24"/>
          <w:lang w:val="en-US" w:eastAsia="zh-CN"/>
        </w:rPr>
        <w:t>系统组成，</w:t>
      </w:r>
      <w:r>
        <w:rPr>
          <w:rFonts w:hint="eastAsia" w:ascii="宋体" w:eastAsia="宋体"/>
          <w:sz w:val="24"/>
          <w:szCs w:val="24"/>
        </w:rPr>
        <w:t>规定了基于电力流的碳排放</w:t>
      </w:r>
      <w:r>
        <w:rPr>
          <w:rFonts w:hint="eastAsia" w:ascii="宋体" w:eastAsia="宋体"/>
          <w:sz w:val="24"/>
          <w:szCs w:val="24"/>
          <w:lang w:eastAsia="zh-CN"/>
        </w:rPr>
        <w:t>计量系统</w:t>
      </w:r>
      <w:r>
        <w:rPr>
          <w:rFonts w:hint="eastAsia" w:ascii="宋体" w:eastAsia="宋体"/>
          <w:sz w:val="24"/>
          <w:szCs w:val="24"/>
        </w:rPr>
        <w:t>建设的总体原则、</w:t>
      </w:r>
      <w:r>
        <w:rPr>
          <w:rFonts w:hint="eastAsia" w:ascii="宋体" w:eastAsia="宋体"/>
          <w:sz w:val="24"/>
          <w:szCs w:val="24"/>
          <w:lang w:val="en-US" w:eastAsia="zh-CN"/>
        </w:rPr>
        <w:t>需考虑的因素</w:t>
      </w:r>
      <w:r>
        <w:rPr>
          <w:rFonts w:hint="eastAsia" w:ascii="宋体" w:eastAsia="宋体"/>
          <w:sz w:val="24"/>
          <w:szCs w:val="24"/>
        </w:rPr>
        <w:t>。</w:t>
      </w:r>
      <w:r>
        <w:rPr>
          <w:rFonts w:hint="eastAsia" w:hAnsi="宋体" w:cs="宋体"/>
          <w:sz w:val="24"/>
          <w:szCs w:val="24"/>
        </w:rPr>
        <w:t>相关</w:t>
      </w:r>
      <w:r>
        <w:rPr>
          <w:rFonts w:hint="eastAsia" w:hAnsi="宋体" w:cs="宋体"/>
          <w:sz w:val="24"/>
          <w:szCs w:val="24"/>
          <w:lang w:val="en-US" w:eastAsia="zh-CN"/>
        </w:rPr>
        <w:t>系统建设</w:t>
      </w:r>
      <w:r>
        <w:rPr>
          <w:rFonts w:hint="eastAsia" w:hAnsi="宋体" w:cs="宋体"/>
          <w:sz w:val="24"/>
          <w:szCs w:val="24"/>
        </w:rPr>
        <w:t>的</w:t>
      </w:r>
      <w:r>
        <w:rPr>
          <w:rFonts w:hint="eastAsia" w:hAnsi="宋体" w:cs="宋体"/>
          <w:sz w:val="24"/>
          <w:szCs w:val="24"/>
          <w:lang w:val="en-US" w:eastAsia="zh-CN"/>
        </w:rPr>
        <w:t>方法</w:t>
      </w:r>
      <w:r>
        <w:rPr>
          <w:rFonts w:hint="eastAsia" w:hAnsi="宋体" w:cs="宋体"/>
          <w:sz w:val="24"/>
          <w:szCs w:val="24"/>
        </w:rPr>
        <w:t>是依据了</w:t>
      </w:r>
      <w:r>
        <w:rPr>
          <w:rFonts w:hint="eastAsia"/>
          <w:sz w:val="24"/>
          <w:szCs w:val="24"/>
        </w:rPr>
        <w:t>基于电力流的碳排放计量</w:t>
      </w:r>
      <w:r>
        <w:rPr>
          <w:rFonts w:hint="eastAsia"/>
          <w:sz w:val="24"/>
          <w:szCs w:val="24"/>
          <w:lang w:val="en-US" w:eastAsia="zh-CN"/>
        </w:rPr>
        <w:t>技术的特点和基于电力</w:t>
      </w:r>
      <w:r>
        <w:rPr>
          <w:rFonts w:hint="eastAsia"/>
          <w:b w:val="0"/>
          <w:bCs w:val="0"/>
          <w:sz w:val="24"/>
          <w:szCs w:val="24"/>
          <w:lang w:val="en-US" w:eastAsia="zh-CN"/>
        </w:rPr>
        <w:t>流的碳排放计量系列团体标准</w:t>
      </w:r>
      <w:r>
        <w:rPr>
          <w:rFonts w:hint="eastAsia" w:hAnsi="宋体" w:cs="宋体"/>
          <w:b w:val="0"/>
          <w:bCs w:val="0"/>
          <w:sz w:val="24"/>
          <w:szCs w:val="24"/>
        </w:rPr>
        <w:t>制定的，其中</w:t>
      </w:r>
      <w:r>
        <w:rPr>
          <w:rFonts w:hint="eastAsia" w:hAnsi="宋体" w:cs="宋体"/>
          <w:b w:val="0"/>
          <w:bCs w:val="0"/>
          <w:sz w:val="24"/>
          <w:szCs w:val="24"/>
          <w:lang w:val="en-US" w:eastAsia="zh-CN"/>
        </w:rPr>
        <w:t>术语和定义引用了</w:t>
      </w:r>
      <w:r>
        <w:rPr>
          <w:rFonts w:hint="eastAsia" w:hAnsi="宋体" w:cs="宋体"/>
          <w:b w:val="0"/>
          <w:bCs w:val="0"/>
          <w:sz w:val="24"/>
          <w:szCs w:val="24"/>
        </w:rPr>
        <w:t>T/CIMA 0079.1—2023 基于电力流的碳排放计量 第1部分：计量模型</w:t>
      </w:r>
      <w:r>
        <w:rPr>
          <w:rFonts w:hint="eastAsia" w:hAnsi="宋体" w:cs="宋体"/>
          <w:b w:val="0"/>
          <w:bCs w:val="0"/>
          <w:sz w:val="24"/>
          <w:szCs w:val="24"/>
          <w:lang w:val="en-US" w:eastAsia="zh-CN"/>
        </w:rPr>
        <w:t>中的相关要求。</w:t>
      </w:r>
    </w:p>
    <w:p w14:paraId="3B85B2D9">
      <w:pPr>
        <w:pStyle w:val="3"/>
        <w:spacing w:line="400" w:lineRule="exact"/>
        <w:rPr>
          <w:rFonts w:hint="eastAsia" w:cs="黑体" w:asciiTheme="majorEastAsia" w:hAnsiTheme="majorEastAsia" w:eastAsiaTheme="majorEastAsia"/>
          <w:sz w:val="28"/>
          <w:szCs w:val="28"/>
          <w:highlight w:val="yellow"/>
        </w:rPr>
      </w:pPr>
      <w:r>
        <w:rPr>
          <w:rFonts w:hint="eastAsia" w:cs="黑体" w:asciiTheme="majorEastAsia" w:hAnsiTheme="majorEastAsia" w:eastAsiaTheme="majorEastAsia"/>
          <w:sz w:val="28"/>
          <w:szCs w:val="28"/>
        </w:rPr>
        <w:t>三、主要试验（或验收）情况</w:t>
      </w:r>
    </w:p>
    <w:p w14:paraId="4247F908">
      <w:pPr>
        <w:pStyle w:val="4"/>
        <w:spacing w:line="400" w:lineRule="exact"/>
        <w:rPr>
          <w:rFonts w:hint="eastAsia" w:ascii="宋体" w:hAnsi="宋体" w:eastAsia="宋体" w:cs="宋体"/>
          <w:b/>
          <w:bCs/>
          <w:kern w:val="0"/>
          <w:sz w:val="28"/>
          <w:szCs w:val="28"/>
          <w:lang w:val="en-US" w:eastAsia="zh-CN" w:bidi="ar-SA"/>
        </w:rPr>
      </w:pPr>
      <w:r>
        <w:rPr>
          <w:rFonts w:hint="eastAsia" w:ascii="宋体" w:hAnsi="宋体" w:eastAsia="宋体" w:cs="宋体"/>
          <w:b/>
          <w:bCs/>
          <w:kern w:val="0"/>
          <w:sz w:val="28"/>
          <w:szCs w:val="28"/>
          <w:lang w:val="en-US" w:eastAsia="zh-CN" w:bidi="ar-SA"/>
        </w:rPr>
        <w:t>1 试验概述</w:t>
      </w:r>
    </w:p>
    <w:p w14:paraId="2E3256E3">
      <w:pPr>
        <w:pStyle w:val="15"/>
        <w:spacing w:before="120" w:beforeAutospacing="0" w:after="120" w:afterAutospacing="0" w:line="400" w:lineRule="exact"/>
        <w:ind w:firstLine="480" w:firstLineChars="200"/>
        <w:rPr>
          <w:rFonts w:hint="eastAsia"/>
          <w:kern w:val="2"/>
        </w:rPr>
      </w:pPr>
      <w:r>
        <w:rPr>
          <w:rFonts w:hint="eastAsia"/>
          <w:kern w:val="2"/>
        </w:rPr>
        <w:t>在《基于电力流的碳排放计量 第</w:t>
      </w:r>
      <w:r>
        <w:rPr>
          <w:rFonts w:hint="eastAsia"/>
          <w:kern w:val="2"/>
          <w:lang w:val="en-US" w:eastAsia="zh-CN"/>
        </w:rPr>
        <w:t>5</w:t>
      </w:r>
      <w:r>
        <w:rPr>
          <w:rFonts w:hint="eastAsia"/>
          <w:kern w:val="2"/>
        </w:rPr>
        <w:t>部分：计量</w:t>
      </w:r>
      <w:r>
        <w:rPr>
          <w:rFonts w:hint="eastAsia"/>
          <w:kern w:val="2"/>
          <w:lang w:val="en-US" w:eastAsia="zh-CN"/>
        </w:rPr>
        <w:t>系统建设指南</w:t>
      </w:r>
      <w:r>
        <w:rPr>
          <w:rFonts w:hint="eastAsia"/>
          <w:kern w:val="2"/>
        </w:rPr>
        <w:t>》起草过程中，我们对标准中规定的主要</w:t>
      </w:r>
      <w:r>
        <w:rPr>
          <w:rFonts w:hint="eastAsia"/>
          <w:kern w:val="2"/>
          <w:lang w:val="en-US" w:eastAsia="zh-CN"/>
        </w:rPr>
        <w:t>系统组成和需考虑的因素</w:t>
      </w:r>
      <w:r>
        <w:rPr>
          <w:rFonts w:hint="eastAsia"/>
          <w:kern w:val="2"/>
        </w:rPr>
        <w:t>进行了全面的验证试验，以确保标准的准确性和可行性。试验覆盖了</w:t>
      </w:r>
      <w:r>
        <w:rPr>
          <w:rFonts w:hint="eastAsia"/>
          <w:kern w:val="2"/>
          <w:lang w:val="en-US" w:eastAsia="zh-CN"/>
        </w:rPr>
        <w:t>基于电力流的碳排放计量系统</w:t>
      </w:r>
      <w:r>
        <w:rPr>
          <w:rFonts w:hint="eastAsia"/>
          <w:kern w:val="2"/>
        </w:rPr>
        <w:t>的</w:t>
      </w:r>
      <w:r>
        <w:rPr>
          <w:rFonts w:hint="eastAsia"/>
          <w:kern w:val="2"/>
          <w:lang w:val="en-US" w:eastAsia="zh-CN"/>
        </w:rPr>
        <w:t>总体要求和需考虑的因素</w:t>
      </w:r>
      <w:r>
        <w:rPr>
          <w:rFonts w:hint="eastAsia"/>
          <w:kern w:val="2"/>
        </w:rPr>
        <w:t>，包括但不限于</w:t>
      </w:r>
      <w:r>
        <w:rPr>
          <w:rFonts w:hint="eastAsia"/>
          <w:kern w:val="2"/>
          <w:lang w:val="en-US" w:eastAsia="zh-CN"/>
        </w:rPr>
        <w:t>监测</w:t>
      </w:r>
      <w:r>
        <w:rPr>
          <w:rFonts w:hint="eastAsia"/>
          <w:kern w:val="2"/>
        </w:rPr>
        <w:t>试验、</w:t>
      </w:r>
      <w:r>
        <w:rPr>
          <w:rFonts w:hint="eastAsia"/>
          <w:kern w:val="2"/>
          <w:lang w:val="en-US" w:eastAsia="zh-CN"/>
        </w:rPr>
        <w:t>数据交互试验</w:t>
      </w:r>
      <w:r>
        <w:rPr>
          <w:rFonts w:hint="eastAsia"/>
          <w:kern w:val="2"/>
        </w:rPr>
        <w:t>、</w:t>
      </w:r>
      <w:r>
        <w:rPr>
          <w:rFonts w:hint="eastAsia"/>
          <w:kern w:val="2"/>
          <w:lang w:val="en-US" w:eastAsia="zh-CN"/>
        </w:rPr>
        <w:t>数据采集试验、数据传输</w:t>
      </w:r>
      <w:r>
        <w:rPr>
          <w:rFonts w:hint="eastAsia"/>
          <w:kern w:val="2"/>
        </w:rPr>
        <w:t>试验、</w:t>
      </w:r>
      <w:r>
        <w:rPr>
          <w:rFonts w:hint="eastAsia"/>
          <w:kern w:val="2"/>
          <w:lang w:val="en-US" w:eastAsia="zh-CN"/>
        </w:rPr>
        <w:t>数据处理试验</w:t>
      </w:r>
      <w:r>
        <w:rPr>
          <w:rFonts w:hint="eastAsia"/>
          <w:kern w:val="2"/>
        </w:rPr>
        <w:t>等。</w:t>
      </w:r>
    </w:p>
    <w:p w14:paraId="2E1B59F4">
      <w:pPr>
        <w:pStyle w:val="4"/>
        <w:spacing w:line="400" w:lineRule="exact"/>
        <w:rPr>
          <w:rFonts w:hint="eastAsia" w:ascii="宋体" w:hAnsi="宋体" w:eastAsia="宋体" w:cs="宋体"/>
          <w:b/>
          <w:bCs/>
          <w:kern w:val="0"/>
          <w:sz w:val="28"/>
          <w:szCs w:val="28"/>
          <w:lang w:val="en-US" w:eastAsia="zh-CN" w:bidi="ar-SA"/>
        </w:rPr>
      </w:pPr>
      <w:r>
        <w:rPr>
          <w:rFonts w:hint="eastAsia" w:ascii="宋体" w:hAnsi="宋体" w:eastAsia="宋体" w:cs="宋体"/>
          <w:b/>
          <w:bCs/>
          <w:kern w:val="0"/>
          <w:sz w:val="28"/>
          <w:szCs w:val="28"/>
          <w:lang w:val="en-US" w:eastAsia="zh-CN" w:bidi="ar-SA"/>
        </w:rPr>
        <w:t>2 试验机构与合作企业</w:t>
      </w:r>
    </w:p>
    <w:p w14:paraId="7CB1D15D">
      <w:pPr>
        <w:pStyle w:val="15"/>
        <w:spacing w:before="120" w:beforeAutospacing="0" w:after="120" w:afterAutospacing="0" w:line="400" w:lineRule="exact"/>
        <w:ind w:firstLine="480" w:firstLineChars="200"/>
        <w:rPr>
          <w:rFonts w:hint="eastAsia"/>
          <w:color w:val="2C2C36"/>
        </w:rPr>
      </w:pPr>
      <w:r>
        <w:rPr>
          <w:rFonts w:hint="eastAsia"/>
          <w:color w:val="2C2C36"/>
        </w:rPr>
        <w:t>试验工作由</w:t>
      </w:r>
      <w:r>
        <w:rPr>
          <w:rFonts w:hint="eastAsia" w:ascii="宋体" w:hAnsi="宋体" w:eastAsia="宋体" w:cs="宋体"/>
          <w:kern w:val="2"/>
          <w:lang w:val="en-US" w:eastAsia="zh-CN"/>
        </w:rPr>
        <w:t>宁夏隆</w:t>
      </w:r>
      <w:r>
        <w:rPr>
          <w:rFonts w:hint="eastAsia" w:ascii="宋体" w:hAnsi="宋体" w:eastAsia="宋体" w:cs="宋体"/>
          <w:color w:val="2C2C36"/>
          <w:lang w:val="en-US" w:eastAsia="zh-CN"/>
        </w:rPr>
        <w:t>基宁光仪表股份有限公司</w:t>
      </w:r>
      <w:r>
        <w:rPr>
          <w:rFonts w:hint="eastAsia" w:ascii="宋体" w:hAnsi="宋体" w:eastAsia="宋体" w:cs="宋体"/>
          <w:color w:val="2C2C36"/>
        </w:rPr>
        <w:t>、</w:t>
      </w:r>
      <w:r>
        <w:rPr>
          <w:rFonts w:hint="eastAsia" w:ascii="宋体" w:hAnsi="宋体" w:eastAsia="宋体" w:cs="宋体"/>
          <w:color w:val="2C2C36"/>
          <w:lang w:val="en-US" w:eastAsia="zh-CN"/>
        </w:rPr>
        <w:t>科大智能科技股份有限公司</w:t>
      </w:r>
      <w:r>
        <w:rPr>
          <w:rFonts w:hint="eastAsia" w:ascii="宋体" w:hAnsi="宋体" w:eastAsia="宋体" w:cs="宋体"/>
          <w:color w:val="2C2C36"/>
        </w:rPr>
        <w:t>等企业共同配合开展，这些企业</w:t>
      </w:r>
      <w:r>
        <w:rPr>
          <w:rFonts w:hint="eastAsia"/>
          <w:color w:val="2C2C36"/>
        </w:rPr>
        <w:t>具备先进的测试设备和丰富的试验经验，能够提供权威的试验数据支持。</w:t>
      </w:r>
    </w:p>
    <w:p w14:paraId="6F751A30">
      <w:pPr>
        <w:pStyle w:val="4"/>
        <w:spacing w:line="400" w:lineRule="exact"/>
        <w:rPr>
          <w:rFonts w:hint="eastAsia" w:ascii="宋体" w:hAnsi="宋体" w:eastAsia="宋体" w:cs="宋体"/>
          <w:b/>
          <w:bCs/>
          <w:kern w:val="0"/>
          <w:sz w:val="28"/>
          <w:szCs w:val="28"/>
          <w:lang w:val="en-US" w:eastAsia="zh-CN" w:bidi="ar-SA"/>
        </w:rPr>
      </w:pPr>
      <w:r>
        <w:rPr>
          <w:rFonts w:hint="eastAsia" w:ascii="宋体" w:hAnsi="宋体" w:eastAsia="宋体" w:cs="宋体"/>
          <w:b/>
          <w:bCs/>
          <w:kern w:val="0"/>
          <w:sz w:val="28"/>
          <w:szCs w:val="28"/>
          <w:lang w:val="en-US" w:eastAsia="zh-CN" w:bidi="ar-SA"/>
        </w:rPr>
        <w:t>3 具体试验项目</w:t>
      </w:r>
    </w:p>
    <w:p w14:paraId="17A6EEC3">
      <w:pPr>
        <w:widowControl/>
        <w:spacing w:before="100" w:beforeAutospacing="1" w:after="100" w:afterAutospacing="1" w:line="400" w:lineRule="exact"/>
        <w:jc w:val="left"/>
        <w:rPr>
          <w:rFonts w:hint="eastAsia" w:ascii="宋体" w:hAnsi="宋体" w:eastAsia="宋体" w:cs="宋体"/>
          <w:sz w:val="24"/>
          <w:szCs w:val="24"/>
          <w:lang w:val="en-US" w:eastAsia="zh-CN"/>
        </w:rPr>
      </w:pPr>
      <w:r>
        <w:rPr>
          <w:rStyle w:val="18"/>
          <w:rFonts w:hint="eastAsia" w:ascii="宋体" w:hAnsi="宋体" w:cs="宋体"/>
          <w:color w:val="2C2C36"/>
          <w:sz w:val="24"/>
          <w:szCs w:val="24"/>
        </w:rPr>
        <w:t>3.1</w:t>
      </w:r>
      <w:r>
        <w:rPr>
          <w:rStyle w:val="18"/>
          <w:rFonts w:hint="eastAsia" w:ascii="宋体" w:hAnsi="宋体" w:cs="宋体"/>
          <w:color w:val="2C2C36"/>
          <w:sz w:val="24"/>
          <w:szCs w:val="24"/>
          <w:lang w:val="en-US" w:eastAsia="zh-CN"/>
        </w:rPr>
        <w:t>监测</w:t>
      </w:r>
      <w:r>
        <w:rPr>
          <w:rStyle w:val="18"/>
          <w:rFonts w:hint="eastAsia" w:ascii="宋体" w:hAnsi="宋体" w:cs="宋体"/>
          <w:color w:val="2C2C36"/>
          <w:sz w:val="24"/>
          <w:szCs w:val="24"/>
        </w:rPr>
        <w:t>试验</w:t>
      </w:r>
      <w:r>
        <w:rPr>
          <w:rFonts w:hint="eastAsia" w:ascii="宋体" w:hAnsi="宋体" w:cs="宋体"/>
          <w:color w:val="2C2C36"/>
          <w:sz w:val="24"/>
          <w:szCs w:val="24"/>
        </w:rPr>
        <w:t>：</w:t>
      </w:r>
      <w:r>
        <w:rPr>
          <w:rFonts w:hint="eastAsia" w:ascii="宋体" w:hAnsi="宋体" w:cs="宋体"/>
          <w:color w:val="2C2C36"/>
          <w:sz w:val="24"/>
          <w:szCs w:val="24"/>
          <w:lang w:val="en-US" w:eastAsia="zh-CN"/>
        </w:rPr>
        <w:t>按照</w:t>
      </w:r>
      <w:r>
        <w:rPr>
          <w:rFonts w:hint="eastAsia" w:ascii="宋体" w:hAnsi="宋体" w:cs="宋体"/>
          <w:sz w:val="24"/>
          <w:szCs w:val="24"/>
          <w:lang w:val="en-US" w:eastAsia="zh-CN"/>
        </w:rPr>
        <w:t>基于电力流的碳排放计量系统总体要求</w:t>
      </w:r>
      <w:r>
        <w:rPr>
          <w:rFonts w:hint="eastAsia" w:ascii="宋体" w:hAnsi="宋体" w:cs="宋体"/>
          <w:sz w:val="24"/>
          <w:szCs w:val="24"/>
        </w:rPr>
        <w:t>，</w:t>
      </w:r>
      <w:r>
        <w:rPr>
          <w:rFonts w:hint="eastAsia" w:ascii="宋体" w:hAnsi="宋体" w:cs="宋体"/>
          <w:sz w:val="24"/>
          <w:szCs w:val="24"/>
          <w:lang w:val="en-US" w:eastAsia="zh-CN"/>
        </w:rPr>
        <w:t>模拟环境条件，测试</w:t>
      </w:r>
      <w:r>
        <w:rPr>
          <w:rFonts w:hint="eastAsia" w:ascii="宋体" w:hAnsi="宋体" w:eastAsia="宋体" w:cs="宋体"/>
          <w:sz w:val="24"/>
          <w:szCs w:val="24"/>
          <w:lang w:val="en-US" w:eastAsia="zh-CN"/>
        </w:rPr>
        <w:t>电力流全流域覆盖，对发电侧、电网侧和消费侧的各区段分别进行电碳排放计量的监测能力。</w:t>
      </w:r>
    </w:p>
    <w:p w14:paraId="072DC941">
      <w:pPr>
        <w:widowControl/>
        <w:spacing w:before="100" w:beforeAutospacing="1" w:after="100" w:afterAutospacing="1" w:line="400" w:lineRule="exact"/>
        <w:jc w:val="left"/>
        <w:rPr>
          <w:rFonts w:hint="eastAsia"/>
        </w:rPr>
      </w:pPr>
      <w:r>
        <w:rPr>
          <w:rStyle w:val="18"/>
          <w:rFonts w:hint="eastAsia" w:ascii="宋体" w:hAnsi="宋体" w:cs="宋体"/>
          <w:color w:val="2C2C36"/>
          <w:sz w:val="24"/>
          <w:szCs w:val="24"/>
        </w:rPr>
        <w:t>3.2</w:t>
      </w:r>
      <w:r>
        <w:rPr>
          <w:rStyle w:val="18"/>
          <w:rFonts w:hint="eastAsia" w:ascii="宋体" w:hAnsi="宋体" w:cs="宋体"/>
          <w:color w:val="2C2C36"/>
          <w:sz w:val="24"/>
          <w:szCs w:val="24"/>
          <w:lang w:val="en-US" w:eastAsia="zh-CN"/>
        </w:rPr>
        <w:t>数据交互试验</w:t>
      </w:r>
      <w:r>
        <w:rPr>
          <w:rFonts w:hint="eastAsia" w:ascii="宋体" w:hAnsi="宋体" w:cs="宋体"/>
          <w:color w:val="2C2C36"/>
          <w:sz w:val="24"/>
          <w:szCs w:val="24"/>
        </w:rPr>
        <w:t>：</w:t>
      </w:r>
      <w:r>
        <w:rPr>
          <w:rFonts w:hint="eastAsia" w:ascii="宋体" w:hAnsi="宋体" w:cs="宋体"/>
          <w:sz w:val="24"/>
          <w:szCs w:val="24"/>
        </w:rPr>
        <w:t>验证</w:t>
      </w:r>
      <w:r>
        <w:rPr>
          <w:rFonts w:hint="eastAsia" w:ascii="宋体" w:hAnsi="宋体" w:eastAsia="宋体" w:cs="宋体"/>
          <w:sz w:val="24"/>
          <w:szCs w:val="24"/>
          <w:lang w:val="en-US" w:eastAsia="zh-CN"/>
        </w:rPr>
        <w:t>基于电力流的碳排放计量系统建设中，是否能进行监测系统的各层级联并进行数据交互，同时相互验证监测结果。</w:t>
      </w:r>
    </w:p>
    <w:p w14:paraId="1E8F6D00">
      <w:pPr>
        <w:widowControl/>
        <w:spacing w:before="100" w:beforeAutospacing="1" w:after="100" w:afterAutospacing="1" w:line="400" w:lineRule="exact"/>
        <w:jc w:val="left"/>
        <w:rPr>
          <w:rFonts w:hint="eastAsia" w:ascii="宋体" w:hAnsi="宋体" w:eastAsia="宋体" w:cs="宋体"/>
          <w:sz w:val="24"/>
          <w:szCs w:val="24"/>
          <w:lang w:val="en-US" w:eastAsia="zh-CN"/>
        </w:rPr>
      </w:pPr>
      <w:r>
        <w:rPr>
          <w:rStyle w:val="18"/>
          <w:rFonts w:ascii="宋体" w:hAnsi="宋体" w:cs="宋体"/>
          <w:color w:val="2C2C36"/>
          <w:sz w:val="24"/>
          <w:szCs w:val="24"/>
        </w:rPr>
        <w:t>3.</w:t>
      </w:r>
      <w:r>
        <w:rPr>
          <w:rStyle w:val="18"/>
          <w:rFonts w:hint="eastAsia" w:ascii="宋体" w:hAnsi="宋体" w:cs="宋体"/>
          <w:color w:val="2C2C36"/>
          <w:sz w:val="24"/>
          <w:szCs w:val="24"/>
        </w:rPr>
        <w:t>3</w:t>
      </w:r>
      <w:r>
        <w:rPr>
          <w:rStyle w:val="18"/>
          <w:rFonts w:hint="eastAsia" w:ascii="宋体" w:hAnsi="宋体" w:cs="宋体"/>
          <w:color w:val="2C2C36"/>
          <w:sz w:val="24"/>
          <w:szCs w:val="24"/>
          <w:lang w:val="en-US" w:eastAsia="zh-CN"/>
        </w:rPr>
        <w:t>数据采集</w:t>
      </w:r>
      <w:r>
        <w:rPr>
          <w:rStyle w:val="18"/>
          <w:rFonts w:hint="eastAsia" w:ascii="宋体" w:hAnsi="宋体" w:cs="宋体"/>
          <w:color w:val="2C2C36"/>
          <w:sz w:val="24"/>
          <w:szCs w:val="24"/>
        </w:rPr>
        <w:t>试验</w:t>
      </w:r>
      <w:r>
        <w:rPr>
          <w:rFonts w:hint="eastAsia" w:ascii="宋体" w:hAnsi="宋体" w:cs="宋体"/>
          <w:color w:val="2C2C36"/>
          <w:sz w:val="24"/>
          <w:szCs w:val="24"/>
        </w:rPr>
        <w:t>：</w:t>
      </w:r>
      <w:r>
        <w:rPr>
          <w:rFonts w:hint="eastAsia" w:ascii="宋体" w:hAnsi="宋体" w:cs="宋体"/>
          <w:sz w:val="24"/>
          <w:szCs w:val="24"/>
        </w:rPr>
        <w:t>验证</w:t>
      </w:r>
      <w:r>
        <w:rPr>
          <w:rFonts w:hint="eastAsia" w:ascii="宋体" w:hAnsi="宋体" w:eastAsia="宋体" w:cs="宋体"/>
          <w:sz w:val="24"/>
          <w:szCs w:val="24"/>
          <w:lang w:val="en-US" w:eastAsia="zh-CN"/>
        </w:rPr>
        <w:t>基于电力流的碳排放计量系统建设中，是否能对发电侧各发电机组电碳计量设备记录的碳排放数据和上网电量数据进行采集，对发电侧电碳计量系统输出的电力碳排放因子数据进行采集，同时，是否能对发电侧各发电机组的电碳计量设备安装现场情况进行实时监测和图像存储、回放。</w:t>
      </w:r>
    </w:p>
    <w:p w14:paraId="52D67903">
      <w:pPr>
        <w:widowControl/>
        <w:spacing w:before="100" w:beforeAutospacing="1" w:after="100" w:afterAutospacing="1" w:line="400" w:lineRule="exact"/>
        <w:jc w:val="left"/>
        <w:rPr>
          <w:rFonts w:hint="eastAsia"/>
        </w:rPr>
      </w:pPr>
      <w:r>
        <w:rPr>
          <w:rStyle w:val="18"/>
          <w:rFonts w:hint="eastAsia" w:ascii="宋体" w:hAnsi="宋体" w:cs="宋体"/>
          <w:color w:val="2C2C36"/>
          <w:sz w:val="24"/>
          <w:szCs w:val="24"/>
        </w:rPr>
        <w:t>3.4</w:t>
      </w:r>
      <w:r>
        <w:rPr>
          <w:rStyle w:val="18"/>
          <w:rFonts w:hint="eastAsia" w:ascii="宋体" w:hAnsi="宋体" w:cs="宋体"/>
          <w:color w:val="2C2C36"/>
          <w:sz w:val="24"/>
          <w:szCs w:val="24"/>
          <w:lang w:val="en-US" w:eastAsia="zh-CN"/>
        </w:rPr>
        <w:t>数据传输</w:t>
      </w:r>
      <w:r>
        <w:rPr>
          <w:rStyle w:val="18"/>
          <w:rFonts w:hint="eastAsia" w:ascii="宋体" w:hAnsi="宋体" w:cs="宋体"/>
          <w:color w:val="2C2C36"/>
          <w:sz w:val="24"/>
          <w:szCs w:val="24"/>
        </w:rPr>
        <w:t>试验</w:t>
      </w:r>
      <w:r>
        <w:rPr>
          <w:rFonts w:hint="eastAsia" w:ascii="宋体" w:hAnsi="宋体" w:cs="宋体"/>
          <w:color w:val="2C2C36"/>
          <w:sz w:val="24"/>
          <w:szCs w:val="24"/>
        </w:rPr>
        <w:t>：验证</w:t>
      </w:r>
      <w:r>
        <w:rPr>
          <w:rFonts w:hint="eastAsia" w:ascii="宋体" w:hAnsi="宋体" w:cs="宋体"/>
          <w:sz w:val="24"/>
          <w:szCs w:val="24"/>
          <w:lang w:val="en-US" w:eastAsia="zh-CN"/>
        </w:rPr>
        <w:t>基于电力流的碳排放计量系统</w:t>
      </w:r>
      <w:r>
        <w:rPr>
          <w:rFonts w:hint="eastAsia" w:ascii="宋体" w:hAnsi="宋体" w:cs="宋体"/>
          <w:color w:val="2C2C36"/>
          <w:sz w:val="24"/>
          <w:szCs w:val="24"/>
        </w:rPr>
        <w:t>是否</w:t>
      </w:r>
      <w:r>
        <w:rPr>
          <w:rFonts w:hint="eastAsia" w:ascii="宋体" w:hAnsi="宋体" w:cs="宋体"/>
          <w:color w:val="2C2C36"/>
          <w:sz w:val="24"/>
          <w:szCs w:val="24"/>
          <w:lang w:val="en-US" w:eastAsia="zh-CN"/>
        </w:rPr>
        <w:t>能</w:t>
      </w:r>
      <w:r>
        <w:rPr>
          <w:rFonts w:hint="eastAsia" w:ascii="宋体" w:hAnsi="宋体" w:eastAsia="宋体" w:cs="宋体"/>
          <w:sz w:val="24"/>
          <w:szCs w:val="24"/>
          <w:lang w:val="en-US" w:eastAsia="zh-CN"/>
        </w:rPr>
        <w:t>将采集到发电侧各发电机组的碳排放数据、上网电量数据和电力碳排放因子数据实时传输给监测管理中心。</w:t>
      </w:r>
    </w:p>
    <w:p w14:paraId="4ECD3C3B">
      <w:pPr>
        <w:widowControl/>
        <w:spacing w:before="100" w:beforeAutospacing="1" w:after="100" w:afterAutospacing="1" w:line="400" w:lineRule="exact"/>
        <w:jc w:val="left"/>
        <w:rPr>
          <w:rFonts w:hint="eastAsia" w:ascii="宋体" w:hAnsi="宋体" w:eastAsia="宋体" w:cs="宋体"/>
          <w:color w:val="2C2C36"/>
          <w:sz w:val="24"/>
          <w:szCs w:val="24"/>
        </w:rPr>
      </w:pPr>
      <w:r>
        <w:rPr>
          <w:rStyle w:val="18"/>
          <w:rFonts w:hint="eastAsia" w:ascii="宋体" w:hAnsi="宋体" w:cs="宋体"/>
          <w:color w:val="2C2C36"/>
          <w:sz w:val="24"/>
          <w:szCs w:val="24"/>
        </w:rPr>
        <w:t>3.5</w:t>
      </w:r>
      <w:r>
        <w:rPr>
          <w:rStyle w:val="18"/>
          <w:rFonts w:hint="eastAsia" w:ascii="宋体" w:hAnsi="宋体" w:cs="宋体"/>
          <w:color w:val="2C2C36"/>
          <w:sz w:val="24"/>
          <w:szCs w:val="24"/>
          <w:lang w:val="en-US" w:eastAsia="zh-CN"/>
        </w:rPr>
        <w:t>数据处理</w:t>
      </w:r>
      <w:r>
        <w:rPr>
          <w:rStyle w:val="18"/>
          <w:rFonts w:hint="eastAsia" w:ascii="宋体" w:hAnsi="宋体" w:cs="宋体"/>
          <w:color w:val="2C2C36"/>
          <w:sz w:val="24"/>
          <w:szCs w:val="24"/>
        </w:rPr>
        <w:t>试验</w:t>
      </w:r>
      <w:r>
        <w:rPr>
          <w:rFonts w:hint="eastAsia" w:ascii="宋体" w:hAnsi="宋体" w:cs="宋体"/>
          <w:color w:val="2C2C36"/>
          <w:sz w:val="24"/>
          <w:szCs w:val="24"/>
        </w:rPr>
        <w:t>：</w:t>
      </w:r>
      <w:r>
        <w:rPr>
          <w:rFonts w:hint="eastAsia" w:ascii="宋体" w:hAnsi="宋体" w:eastAsia="宋体" w:cs="宋体"/>
          <w:color w:val="2C2C36"/>
          <w:sz w:val="24"/>
          <w:szCs w:val="24"/>
          <w:lang w:val="en-US" w:eastAsia="zh-CN"/>
        </w:rPr>
        <w:t>监测管理中心的数据处理宜</w:t>
      </w:r>
      <w:r>
        <w:rPr>
          <w:rFonts w:hint="eastAsia" w:ascii="宋体" w:hAnsi="宋体" w:eastAsia="宋体" w:cs="宋体"/>
          <w:color w:val="2C2C36"/>
          <w:sz w:val="24"/>
          <w:szCs w:val="24"/>
        </w:rPr>
        <w:t>配备计算机软硬件和专用网络，对采集的发电侧实时数据和历史数据进行统计、分析、存储等，对数据采集和数据传输设备进行远程维护，与</w:t>
      </w:r>
      <w:r>
        <w:rPr>
          <w:rFonts w:hint="eastAsia" w:ascii="宋体" w:hAnsi="宋体" w:eastAsia="宋体" w:cs="宋体"/>
          <w:color w:val="2C2C36"/>
          <w:sz w:val="24"/>
          <w:szCs w:val="24"/>
          <w:lang w:val="en-US" w:eastAsia="zh-CN"/>
        </w:rPr>
        <w:t>各层</w:t>
      </w:r>
      <w:r>
        <w:rPr>
          <w:rFonts w:hint="eastAsia" w:ascii="宋体" w:hAnsi="宋体" w:eastAsia="宋体" w:cs="宋体"/>
          <w:color w:val="2C2C36"/>
          <w:sz w:val="24"/>
          <w:szCs w:val="24"/>
          <w:lang w:eastAsia="zh-CN"/>
        </w:rPr>
        <w:t>电网</w:t>
      </w:r>
      <w:r>
        <w:rPr>
          <w:rFonts w:hint="eastAsia" w:ascii="宋体" w:hAnsi="宋体" w:eastAsia="宋体" w:cs="宋体"/>
          <w:color w:val="2C2C36"/>
          <w:sz w:val="24"/>
          <w:szCs w:val="24"/>
          <w:lang w:val="en-US" w:eastAsia="zh-CN"/>
        </w:rPr>
        <w:t>侧</w:t>
      </w:r>
      <w:r>
        <w:rPr>
          <w:rFonts w:hint="eastAsia" w:ascii="宋体" w:hAnsi="宋体" w:eastAsia="宋体" w:cs="宋体"/>
          <w:color w:val="2C2C36"/>
          <w:sz w:val="24"/>
          <w:szCs w:val="24"/>
        </w:rPr>
        <w:t>的监测数据进行交互和比对，对异常情况进行警示提醒。</w:t>
      </w:r>
    </w:p>
    <w:p w14:paraId="351EED1E">
      <w:pPr>
        <w:pStyle w:val="4"/>
        <w:spacing w:line="400" w:lineRule="exact"/>
        <w:rPr>
          <w:rFonts w:hint="eastAsia" w:ascii="宋体" w:hAnsi="宋体" w:eastAsia="宋体" w:cs="宋体"/>
          <w:b/>
          <w:bCs/>
          <w:kern w:val="0"/>
          <w:sz w:val="28"/>
          <w:szCs w:val="28"/>
          <w:lang w:val="en-US" w:eastAsia="zh-CN" w:bidi="ar-SA"/>
        </w:rPr>
      </w:pPr>
      <w:r>
        <w:rPr>
          <w:rFonts w:hint="eastAsia" w:ascii="宋体" w:hAnsi="宋体" w:eastAsia="宋体" w:cs="宋体"/>
          <w:b/>
          <w:bCs/>
          <w:kern w:val="0"/>
          <w:sz w:val="28"/>
          <w:szCs w:val="28"/>
          <w:lang w:val="en-US" w:eastAsia="zh-CN" w:bidi="ar-SA"/>
        </w:rPr>
        <w:t>4 试验结果与分析</w:t>
      </w:r>
    </w:p>
    <w:tbl>
      <w:tblPr>
        <w:tblStyle w:val="16"/>
        <w:tblW w:w="8597"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4952"/>
        <w:gridCol w:w="3645"/>
      </w:tblGrid>
      <w:tr w14:paraId="7896C2C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79" w:hRule="atLeast"/>
          <w:jc w:val="center"/>
        </w:trPr>
        <w:tc>
          <w:tcPr>
            <w:tcW w:w="8597" w:type="dxa"/>
            <w:gridSpan w:val="2"/>
            <w:vAlign w:val="center"/>
          </w:tcPr>
          <w:p w14:paraId="2EAB3180">
            <w:pPr>
              <w:jc w:val="center"/>
              <w:rPr>
                <w:rFonts w:hint="default" w:eastAsia="宋体"/>
                <w:bCs/>
                <w:sz w:val="18"/>
                <w:szCs w:val="18"/>
                <w:highlight w:val="none"/>
                <w:lang w:val="en-US" w:eastAsia="zh-CN"/>
              </w:rPr>
            </w:pPr>
            <w:r>
              <w:rPr>
                <w:rFonts w:hint="eastAsia"/>
                <w:b/>
                <w:bCs w:val="0"/>
                <w:sz w:val="18"/>
                <w:szCs w:val="18"/>
                <w:highlight w:val="none"/>
              </w:rPr>
              <w:t>基于电力流的碳排放计量  第</w:t>
            </w:r>
            <w:r>
              <w:rPr>
                <w:rFonts w:hint="eastAsia"/>
                <w:b/>
                <w:bCs w:val="0"/>
                <w:sz w:val="18"/>
                <w:szCs w:val="18"/>
                <w:highlight w:val="none"/>
                <w:lang w:val="en-US" w:eastAsia="zh-CN"/>
              </w:rPr>
              <w:t>5</w:t>
            </w:r>
            <w:r>
              <w:rPr>
                <w:rFonts w:hint="eastAsia"/>
                <w:b/>
                <w:bCs w:val="0"/>
                <w:sz w:val="18"/>
                <w:szCs w:val="18"/>
                <w:highlight w:val="none"/>
              </w:rPr>
              <w:t>部分：计量</w:t>
            </w:r>
            <w:r>
              <w:rPr>
                <w:rFonts w:hint="eastAsia"/>
                <w:b/>
                <w:bCs w:val="0"/>
                <w:sz w:val="18"/>
                <w:szCs w:val="18"/>
                <w:highlight w:val="none"/>
                <w:lang w:val="en-US" w:eastAsia="zh-CN"/>
              </w:rPr>
              <w:t>系统建设指南</w:t>
            </w:r>
          </w:p>
        </w:tc>
      </w:tr>
      <w:tr w14:paraId="40986BC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4952" w:type="dxa"/>
            <w:vAlign w:val="center"/>
          </w:tcPr>
          <w:p w14:paraId="4ABA5C5A">
            <w:pPr>
              <w:jc w:val="center"/>
              <w:rPr>
                <w:rFonts w:hint="eastAsia" w:ascii="宋体" w:hAnsi="宋体"/>
                <w:b/>
                <w:bCs w:val="0"/>
                <w:sz w:val="18"/>
                <w:szCs w:val="18"/>
                <w:highlight w:val="none"/>
              </w:rPr>
            </w:pPr>
            <w:r>
              <w:rPr>
                <w:rFonts w:ascii="宋体" w:hAnsi="宋体"/>
                <w:b/>
                <w:bCs w:val="0"/>
                <w:sz w:val="18"/>
                <w:szCs w:val="18"/>
                <w:highlight w:val="none"/>
              </w:rPr>
              <w:t>被测</w:t>
            </w:r>
            <w:r>
              <w:rPr>
                <w:rFonts w:hint="eastAsia" w:ascii="宋体" w:hAnsi="宋体"/>
                <w:b/>
                <w:bCs w:val="0"/>
                <w:sz w:val="18"/>
                <w:szCs w:val="18"/>
                <w:highlight w:val="none"/>
                <w:lang w:val="en-US" w:eastAsia="zh-CN"/>
              </w:rPr>
              <w:t>系统</w:t>
            </w:r>
            <w:r>
              <w:rPr>
                <w:rFonts w:hint="eastAsia" w:ascii="宋体" w:hAnsi="宋体"/>
                <w:b/>
                <w:bCs w:val="0"/>
                <w:sz w:val="18"/>
                <w:szCs w:val="18"/>
                <w:highlight w:val="none"/>
              </w:rPr>
              <w:t>型号</w:t>
            </w:r>
          </w:p>
        </w:tc>
        <w:tc>
          <w:tcPr>
            <w:tcW w:w="3645" w:type="dxa"/>
            <w:vAlign w:val="center"/>
          </w:tcPr>
          <w:p w14:paraId="6A75B472">
            <w:pPr>
              <w:jc w:val="left"/>
              <w:rPr>
                <w:bCs/>
                <w:sz w:val="18"/>
                <w:szCs w:val="18"/>
                <w:highlight w:val="none"/>
              </w:rPr>
            </w:pPr>
            <w:r>
              <w:rPr>
                <w:rFonts w:hint="eastAsia"/>
                <w:bCs/>
                <w:sz w:val="18"/>
                <w:szCs w:val="18"/>
                <w:highlight w:val="none"/>
              </w:rPr>
              <w:t>WE6180</w:t>
            </w:r>
          </w:p>
        </w:tc>
      </w:tr>
      <w:tr w14:paraId="7B3F162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77" w:hRule="atLeast"/>
          <w:jc w:val="center"/>
        </w:trPr>
        <w:tc>
          <w:tcPr>
            <w:tcW w:w="4952" w:type="dxa"/>
            <w:vAlign w:val="center"/>
          </w:tcPr>
          <w:p w14:paraId="326AABFF">
            <w:pPr>
              <w:jc w:val="center"/>
              <w:rPr>
                <w:rFonts w:hint="eastAsia" w:ascii="宋体" w:hAnsi="宋体"/>
                <w:b/>
                <w:bCs w:val="0"/>
                <w:sz w:val="18"/>
                <w:szCs w:val="18"/>
                <w:highlight w:val="none"/>
              </w:rPr>
            </w:pPr>
            <w:r>
              <w:rPr>
                <w:rFonts w:ascii="宋体" w:hAnsi="宋体"/>
                <w:b/>
                <w:bCs w:val="0"/>
                <w:sz w:val="18"/>
                <w:szCs w:val="18"/>
                <w:highlight w:val="none"/>
              </w:rPr>
              <w:t>测试条件</w:t>
            </w:r>
          </w:p>
        </w:tc>
        <w:tc>
          <w:tcPr>
            <w:tcW w:w="3645" w:type="dxa"/>
            <w:vAlign w:val="center"/>
          </w:tcPr>
          <w:p w14:paraId="41552A28">
            <w:pPr>
              <w:ind w:right="-136" w:rightChars="-65"/>
              <w:jc w:val="left"/>
              <w:rPr>
                <w:bCs/>
                <w:sz w:val="18"/>
                <w:szCs w:val="18"/>
                <w:highlight w:val="none"/>
              </w:rPr>
            </w:pPr>
            <w:r>
              <w:rPr>
                <w:rFonts w:hint="eastAsia"/>
                <w:bCs/>
                <w:sz w:val="18"/>
                <w:szCs w:val="18"/>
                <w:highlight w:val="none"/>
                <w:lang w:val="en-US" w:eastAsia="zh-CN"/>
              </w:rPr>
              <w:t>系统后台启动完成、初始化完成，数据库及各类中间件启动正常，页面能正常访问。</w:t>
            </w:r>
          </w:p>
        </w:tc>
      </w:tr>
      <w:tr w14:paraId="1AFE467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77" w:hRule="atLeast"/>
          <w:jc w:val="center"/>
        </w:trPr>
        <w:tc>
          <w:tcPr>
            <w:tcW w:w="4952" w:type="dxa"/>
            <w:vAlign w:val="center"/>
          </w:tcPr>
          <w:p w14:paraId="58F7D80C">
            <w:pPr>
              <w:jc w:val="center"/>
              <w:rPr>
                <w:rFonts w:ascii="宋体" w:hAnsi="宋体"/>
                <w:b/>
                <w:bCs w:val="0"/>
                <w:sz w:val="18"/>
                <w:szCs w:val="18"/>
                <w:highlight w:val="none"/>
              </w:rPr>
            </w:pPr>
            <w:r>
              <w:rPr>
                <w:rFonts w:hint="eastAsia" w:ascii="宋体" w:hAnsi="宋体"/>
                <w:b/>
                <w:bCs w:val="0"/>
                <w:sz w:val="18"/>
                <w:szCs w:val="18"/>
                <w:highlight w:val="none"/>
              </w:rPr>
              <w:t>测试项</w:t>
            </w:r>
          </w:p>
        </w:tc>
        <w:tc>
          <w:tcPr>
            <w:tcW w:w="3645" w:type="dxa"/>
            <w:vAlign w:val="center"/>
          </w:tcPr>
          <w:p w14:paraId="37282ACA">
            <w:pPr>
              <w:ind w:left="-105" w:leftChars="-50" w:right="-136" w:rightChars="-65" w:firstLine="221"/>
              <w:jc w:val="center"/>
              <w:rPr>
                <w:rFonts w:hint="eastAsia"/>
                <w:bCs/>
                <w:sz w:val="18"/>
                <w:szCs w:val="18"/>
                <w:highlight w:val="none"/>
              </w:rPr>
            </w:pPr>
            <w:r>
              <w:rPr>
                <w:rFonts w:hint="eastAsia"/>
                <w:b/>
                <w:bCs w:val="0"/>
                <w:sz w:val="18"/>
                <w:szCs w:val="18"/>
                <w:highlight w:val="none"/>
              </w:rPr>
              <w:t>测试结果</w:t>
            </w:r>
          </w:p>
        </w:tc>
      </w:tr>
      <w:tr w14:paraId="027C88B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4952" w:type="dxa"/>
            <w:vAlign w:val="center"/>
          </w:tcPr>
          <w:p w14:paraId="3E42876D">
            <w:pPr>
              <w:ind w:right="-145" w:rightChars="-69"/>
              <w:jc w:val="left"/>
              <w:rPr>
                <w:rFonts w:hint="eastAsia"/>
                <w:bCs/>
                <w:sz w:val="18"/>
                <w:szCs w:val="18"/>
                <w:highlight w:val="yellow"/>
              </w:rPr>
            </w:pPr>
            <w:r>
              <w:rPr>
                <w:rFonts w:hint="eastAsia"/>
                <w:bCs/>
                <w:sz w:val="18"/>
                <w:szCs w:val="18"/>
                <w:highlight w:val="none"/>
                <w:lang w:val="en-US" w:eastAsia="zh-CN"/>
              </w:rPr>
              <w:t>对不少于100节点的电力拓扑进行计算环境模拟，其中至少要包含发电厂、变电站、电力负荷，系统能够对各节点监测结果都能正确的收集、统计与分类展示</w:t>
            </w:r>
          </w:p>
        </w:tc>
        <w:tc>
          <w:tcPr>
            <w:tcW w:w="3645" w:type="dxa"/>
            <w:vAlign w:val="center"/>
          </w:tcPr>
          <w:p w14:paraId="09F1209B">
            <w:pPr>
              <w:jc w:val="left"/>
              <w:rPr>
                <w:bCs/>
                <w:sz w:val="18"/>
                <w:szCs w:val="18"/>
                <w:highlight w:val="yellow"/>
              </w:rPr>
            </w:pPr>
            <w:r>
              <w:rPr>
                <w:rFonts w:hint="eastAsia"/>
                <w:bCs/>
                <w:sz w:val="18"/>
                <w:szCs w:val="18"/>
                <w:highlight w:val="none"/>
                <w:lang w:val="en-US" w:eastAsia="zh-CN"/>
              </w:rPr>
              <w:t>通过模拟104节点，包括10电厂、80变电站站节点和14个电力用户，能够清晰展示各环节电碳因子和电力碳排放量。</w:t>
            </w:r>
          </w:p>
        </w:tc>
      </w:tr>
      <w:tr w14:paraId="7242DBC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4952" w:type="dxa"/>
            <w:vAlign w:val="center"/>
          </w:tcPr>
          <w:p w14:paraId="2008E5B4">
            <w:pPr>
              <w:ind w:right="-145" w:rightChars="-69"/>
              <w:jc w:val="left"/>
              <w:rPr>
                <w:rFonts w:hint="eastAsia"/>
                <w:bCs/>
                <w:sz w:val="18"/>
                <w:szCs w:val="18"/>
                <w:highlight w:val="none"/>
                <w:lang w:val="en-US" w:eastAsia="zh-CN"/>
              </w:rPr>
            </w:pPr>
            <w:r>
              <w:rPr>
                <w:rFonts w:hint="eastAsia"/>
                <w:bCs/>
                <w:sz w:val="18"/>
                <w:szCs w:val="18"/>
                <w:highlight w:val="none"/>
                <w:lang w:val="en-US" w:eastAsia="zh-CN"/>
              </w:rPr>
              <w:t>整套系统能够正确从跨多层级进行交互与协同，能够与现场计量设备基于标准通信协议进行交互，并能够正确的解析与数据展示。</w:t>
            </w:r>
          </w:p>
        </w:tc>
        <w:tc>
          <w:tcPr>
            <w:tcW w:w="3645" w:type="dxa"/>
            <w:shd w:val="clear" w:color="auto" w:fill="auto"/>
            <w:vAlign w:val="center"/>
          </w:tcPr>
          <w:p w14:paraId="1060F27A">
            <w:pPr>
              <w:ind w:right="-145" w:rightChars="-69"/>
              <w:jc w:val="left"/>
              <w:rPr>
                <w:rFonts w:hint="eastAsia"/>
                <w:bCs/>
                <w:sz w:val="18"/>
                <w:szCs w:val="18"/>
                <w:highlight w:val="none"/>
                <w:lang w:val="en-US" w:eastAsia="zh-CN"/>
              </w:rPr>
            </w:pPr>
            <w:r>
              <w:rPr>
                <w:rFonts w:hint="eastAsia"/>
                <w:bCs/>
                <w:sz w:val="18"/>
                <w:szCs w:val="18"/>
                <w:highlight w:val="none"/>
                <w:lang w:val="en-US" w:eastAsia="zh-CN"/>
              </w:rPr>
              <w:t>通过系统运行，能够从系统查询到实时监测数据，且电碳计量数据与表计上的展示结果一致。</w:t>
            </w:r>
          </w:p>
        </w:tc>
      </w:tr>
      <w:tr w14:paraId="7A4B19B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4952" w:type="dxa"/>
            <w:vAlign w:val="center"/>
          </w:tcPr>
          <w:p w14:paraId="5A48541E">
            <w:pPr>
              <w:ind w:right="-145" w:rightChars="-69"/>
              <w:jc w:val="left"/>
              <w:rPr>
                <w:rFonts w:hint="eastAsia"/>
                <w:bCs/>
                <w:sz w:val="18"/>
                <w:szCs w:val="18"/>
                <w:highlight w:val="none"/>
                <w:lang w:val="en-US" w:eastAsia="zh-CN"/>
              </w:rPr>
            </w:pPr>
            <w:r>
              <w:rPr>
                <w:rFonts w:hint="eastAsia"/>
                <w:bCs/>
                <w:sz w:val="18"/>
                <w:szCs w:val="18"/>
                <w:highlight w:val="none"/>
                <w:lang w:val="en-US" w:eastAsia="zh-CN"/>
              </w:rPr>
              <w:t>系统支持对发电侧数据进行采集汇总，能够查询与展示发电侧电碳排放量与电碳排放因子。</w:t>
            </w:r>
          </w:p>
        </w:tc>
        <w:tc>
          <w:tcPr>
            <w:tcW w:w="3645" w:type="dxa"/>
            <w:vAlign w:val="center"/>
          </w:tcPr>
          <w:p w14:paraId="23CFE9DA">
            <w:pPr>
              <w:ind w:right="-145" w:rightChars="-69"/>
              <w:jc w:val="left"/>
              <w:rPr>
                <w:rFonts w:hint="eastAsia"/>
                <w:bCs/>
                <w:sz w:val="18"/>
                <w:szCs w:val="18"/>
                <w:highlight w:val="none"/>
                <w:lang w:val="en-US" w:eastAsia="zh-CN"/>
              </w:rPr>
            </w:pPr>
            <w:r>
              <w:rPr>
                <w:rFonts w:hint="eastAsia"/>
                <w:bCs/>
                <w:sz w:val="18"/>
                <w:szCs w:val="18"/>
                <w:highlight w:val="none"/>
                <w:lang w:val="en-US" w:eastAsia="zh-CN"/>
              </w:rPr>
              <w:t>通过系统运行，能够正确展示发电侧电碳排放量与电碳排放因子。</w:t>
            </w:r>
          </w:p>
        </w:tc>
      </w:tr>
      <w:tr w14:paraId="6FA1BD5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4952" w:type="dxa"/>
            <w:vAlign w:val="center"/>
          </w:tcPr>
          <w:p w14:paraId="3DF0C0C7">
            <w:pPr>
              <w:ind w:right="-145" w:rightChars="-69"/>
              <w:jc w:val="left"/>
              <w:rPr>
                <w:rFonts w:hint="eastAsia"/>
                <w:bCs/>
                <w:sz w:val="18"/>
                <w:szCs w:val="18"/>
                <w:highlight w:val="none"/>
                <w:lang w:val="en-US" w:eastAsia="zh-CN"/>
              </w:rPr>
            </w:pPr>
            <w:r>
              <w:rPr>
                <w:rFonts w:hint="eastAsia"/>
                <w:bCs/>
                <w:sz w:val="18"/>
                <w:szCs w:val="18"/>
                <w:highlight w:val="none"/>
                <w:lang w:val="en-US" w:eastAsia="zh-CN"/>
              </w:rPr>
              <w:t>系统支持对发电侧机组碳排放数据、上网电量数据和电力碳排放因子数据实时采集，并将数据同步给监测管理中心</w:t>
            </w:r>
          </w:p>
        </w:tc>
        <w:tc>
          <w:tcPr>
            <w:tcW w:w="3645" w:type="dxa"/>
            <w:vAlign w:val="center"/>
          </w:tcPr>
          <w:p w14:paraId="58207127">
            <w:pPr>
              <w:ind w:right="-145" w:rightChars="-69"/>
              <w:jc w:val="left"/>
              <w:rPr>
                <w:rFonts w:hint="eastAsia"/>
                <w:bCs/>
                <w:sz w:val="18"/>
                <w:szCs w:val="18"/>
                <w:highlight w:val="none"/>
                <w:lang w:val="en-US" w:eastAsia="zh-CN"/>
              </w:rPr>
            </w:pPr>
            <w:r>
              <w:rPr>
                <w:rFonts w:hint="eastAsia"/>
                <w:bCs/>
                <w:sz w:val="18"/>
                <w:szCs w:val="18"/>
                <w:highlight w:val="none"/>
                <w:lang w:val="en-US" w:eastAsia="zh-CN"/>
              </w:rPr>
              <w:t>系统运行，可在监测管理中心中查询到实时发电侧机组碳排放数据、上网电量和电力碳排放因子数据。</w:t>
            </w:r>
          </w:p>
        </w:tc>
      </w:tr>
      <w:tr w14:paraId="43A1C95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4952" w:type="dxa"/>
            <w:vAlign w:val="center"/>
          </w:tcPr>
          <w:p w14:paraId="40E7CFF0">
            <w:pPr>
              <w:ind w:right="-145" w:rightChars="-69"/>
              <w:jc w:val="left"/>
              <w:rPr>
                <w:rFonts w:hint="eastAsia"/>
                <w:bCs/>
                <w:sz w:val="18"/>
                <w:szCs w:val="18"/>
                <w:highlight w:val="none"/>
                <w:lang w:val="en-US" w:eastAsia="zh-CN"/>
              </w:rPr>
            </w:pPr>
            <w:r>
              <w:rPr>
                <w:rFonts w:hint="default"/>
                <w:bCs/>
                <w:sz w:val="18"/>
                <w:szCs w:val="18"/>
                <w:highlight w:val="none"/>
                <w:lang w:val="en-US" w:eastAsia="zh-CN"/>
              </w:rPr>
              <w:t>监测管理中心</w:t>
            </w:r>
            <w:r>
              <w:rPr>
                <w:rFonts w:hint="eastAsia"/>
                <w:bCs/>
                <w:sz w:val="18"/>
                <w:szCs w:val="18"/>
                <w:highlight w:val="none"/>
                <w:lang w:val="en-US" w:eastAsia="zh-CN"/>
              </w:rPr>
              <w:t>所采集数据应保证在5min内进行不少于1年的数据存盘，并且支持多维度数据存储。</w:t>
            </w:r>
          </w:p>
        </w:tc>
        <w:tc>
          <w:tcPr>
            <w:tcW w:w="3645" w:type="dxa"/>
            <w:vAlign w:val="center"/>
          </w:tcPr>
          <w:p w14:paraId="1820F69E">
            <w:pPr>
              <w:ind w:right="-145" w:rightChars="-69"/>
              <w:jc w:val="left"/>
              <w:rPr>
                <w:rFonts w:hint="eastAsia"/>
                <w:bCs/>
                <w:sz w:val="18"/>
                <w:szCs w:val="18"/>
                <w:highlight w:val="none"/>
                <w:lang w:val="en-US" w:eastAsia="zh-CN"/>
              </w:rPr>
            </w:pPr>
            <w:r>
              <w:rPr>
                <w:rFonts w:hint="eastAsia"/>
                <w:bCs/>
                <w:sz w:val="18"/>
                <w:szCs w:val="18"/>
                <w:highlight w:val="none"/>
                <w:lang w:val="en-US" w:eastAsia="zh-CN"/>
              </w:rPr>
              <w:t>数据采集后1min内入库完成，支持发电侧分析、潮流分析、用户分析等多维度数据分析指标、界面、报表汇总与生成。</w:t>
            </w:r>
          </w:p>
        </w:tc>
      </w:tr>
    </w:tbl>
    <w:p w14:paraId="160DAF45">
      <w:pPr>
        <w:pStyle w:val="15"/>
        <w:spacing w:before="120" w:beforeAutospacing="0" w:after="120" w:afterAutospacing="0" w:line="400" w:lineRule="exact"/>
        <w:ind w:firstLine="480" w:firstLineChars="200"/>
        <w:rPr>
          <w:rFonts w:hint="eastAsia"/>
          <w:color w:val="2C2C36"/>
        </w:rPr>
      </w:pPr>
      <w:r>
        <w:rPr>
          <w:rFonts w:hint="eastAsia"/>
          <w:color w:val="2C2C36"/>
        </w:rPr>
        <w:t>所有参与试验的企业均提供了详细的试验报告，证实了</w:t>
      </w:r>
      <w:r>
        <w:rPr>
          <w:rFonts w:hint="eastAsia" w:ascii="宋体" w:hAnsi="宋体" w:cs="宋体"/>
          <w:sz w:val="24"/>
          <w:szCs w:val="24"/>
          <w:lang w:val="en-US" w:eastAsia="zh-CN"/>
        </w:rPr>
        <w:t>基于电力流的碳排放计量设备</w:t>
      </w:r>
      <w:r>
        <w:rPr>
          <w:rFonts w:hint="eastAsia"/>
          <w:color w:val="2C2C36"/>
        </w:rPr>
        <w:t>的各项技术指标符合或超过预期目标。试验结果表明，</w:t>
      </w:r>
      <w:r>
        <w:rPr>
          <w:rFonts w:hint="eastAsia" w:ascii="宋体" w:hAnsi="宋体" w:cs="宋体"/>
          <w:sz w:val="24"/>
          <w:szCs w:val="24"/>
          <w:lang w:val="en-US" w:eastAsia="zh-CN"/>
        </w:rPr>
        <w:t>基于电力流的碳排放计量设备</w:t>
      </w:r>
      <w:r>
        <w:rPr>
          <w:rFonts w:hint="eastAsia"/>
          <w:color w:val="2C2C36"/>
        </w:rPr>
        <w:t>能够在复杂多变的环境中稳定运行，具备良好的环境适应性、机械耐用性、电气安全性和</w:t>
      </w:r>
      <w:r>
        <w:rPr>
          <w:rFonts w:hint="eastAsia"/>
          <w:color w:val="2C2C36"/>
          <w:lang w:val="en-US" w:eastAsia="zh-CN"/>
        </w:rPr>
        <w:t>计量准确性</w:t>
      </w:r>
      <w:r>
        <w:rPr>
          <w:rFonts w:hint="eastAsia"/>
          <w:color w:val="2C2C36"/>
        </w:rPr>
        <w:t>，同时确保了操作人员的安全。</w:t>
      </w:r>
    </w:p>
    <w:p w14:paraId="0D3E9BD5">
      <w:pPr>
        <w:pStyle w:val="3"/>
        <w:spacing w:line="400" w:lineRule="exact"/>
        <w:rPr>
          <w:rFonts w:hint="eastAsia" w:cs="黑体" w:asciiTheme="majorEastAsia" w:hAnsiTheme="majorEastAsia" w:eastAsiaTheme="majorEastAsia"/>
          <w:b w:val="0"/>
          <w:bCs w:val="0"/>
          <w:color w:val="FF0000"/>
          <w:sz w:val="28"/>
          <w:szCs w:val="28"/>
        </w:rPr>
      </w:pPr>
      <w:r>
        <w:rPr>
          <w:rFonts w:hint="eastAsia" w:cs="黑体" w:asciiTheme="majorEastAsia" w:hAnsiTheme="majorEastAsia" w:eastAsiaTheme="majorEastAsia"/>
          <w:sz w:val="28"/>
          <w:szCs w:val="28"/>
        </w:rPr>
        <w:t>四、 标准涉及专利情况</w:t>
      </w:r>
    </w:p>
    <w:p w14:paraId="3A8C2543">
      <w:pPr>
        <w:spacing w:line="400" w:lineRule="exact"/>
        <w:ind w:firstLine="480" w:firstLineChars="200"/>
        <w:rPr>
          <w:sz w:val="24"/>
          <w:szCs w:val="24"/>
        </w:rPr>
      </w:pPr>
      <w:r>
        <w:rPr>
          <w:rFonts w:hint="eastAsia"/>
          <w:sz w:val="24"/>
          <w:szCs w:val="24"/>
        </w:rPr>
        <w:t>本文件不涉及任何专利问题</w:t>
      </w:r>
      <w:r>
        <w:rPr>
          <w:sz w:val="24"/>
          <w:szCs w:val="24"/>
        </w:rPr>
        <w:t>。</w:t>
      </w:r>
    </w:p>
    <w:p w14:paraId="49CF008C">
      <w:pPr>
        <w:pStyle w:val="3"/>
        <w:spacing w:line="400" w:lineRule="exact"/>
        <w:rPr>
          <w:rFonts w:hint="eastAsia" w:cs="黑体" w:asciiTheme="majorEastAsia" w:hAnsiTheme="majorEastAsia" w:eastAsiaTheme="majorEastAsia"/>
          <w:sz w:val="28"/>
          <w:szCs w:val="28"/>
        </w:rPr>
      </w:pPr>
      <w:r>
        <w:rPr>
          <w:rFonts w:hint="eastAsia" w:cs="黑体" w:asciiTheme="majorEastAsia" w:hAnsiTheme="majorEastAsia" w:eastAsiaTheme="majorEastAsia"/>
          <w:sz w:val="28"/>
          <w:szCs w:val="28"/>
        </w:rPr>
        <w:t>五、 预期达到的社会效益、对产业发展的作用</w:t>
      </w:r>
    </w:p>
    <w:p w14:paraId="0AD624B9">
      <w:pPr>
        <w:spacing w:line="360" w:lineRule="auto"/>
        <w:ind w:firstLine="480" w:firstLineChars="200"/>
        <w:rPr>
          <w:b/>
          <w:bCs/>
        </w:rPr>
      </w:pPr>
      <w:r>
        <w:rPr>
          <w:rFonts w:hint="eastAsia" w:eastAsia="宋体" w:cs="Times New Roman"/>
          <w:sz w:val="24"/>
          <w:szCs w:val="24"/>
          <w:lang w:val="en-US" w:eastAsia="zh-CN"/>
        </w:rPr>
        <w:t>本标准明确基于电力流的碳排放计量系统组成，规定建设总体原则及需考虑的因素，适用于系统设计与建设，将从 “双碳” 落地、民生保障、治理优化三方面释放社会效益：</w:t>
      </w:r>
      <w:r>
        <w:rPr>
          <w:rFonts w:hint="eastAsia" w:eastAsia="宋体" w:cs="Times New Roman"/>
          <w:b/>
          <w:bCs/>
          <w:sz w:val="24"/>
          <w:szCs w:val="24"/>
          <w:lang w:val="en-US" w:eastAsia="zh-CN"/>
        </w:rPr>
        <w:t>夯实 “双碳” 数据底座，助力政策精准落地。</w:t>
      </w:r>
      <w:r>
        <w:rPr>
          <w:rFonts w:hint="eastAsia" w:eastAsia="宋体" w:cs="Times New Roman"/>
          <w:sz w:val="24"/>
          <w:szCs w:val="24"/>
          <w:lang w:val="en-US" w:eastAsia="zh-CN"/>
        </w:rPr>
        <w:t>当前电力碳计量存在“系统分散、数据碎片化”问题，部分地区因缺乏统一建设规范，导致碳数据无法跨区域互通。本标准通过明确系统组成与系统性建设原则，推动形成 “全域覆盖、数据互联”的计量体系，确保电力流与碳流数据实时联动、精准核算</w:t>
      </w:r>
      <w:r>
        <w:rPr>
          <w:rFonts w:hint="eastAsia" w:cs="Times New Roman"/>
          <w:sz w:val="24"/>
          <w:szCs w:val="24"/>
          <w:lang w:val="en-US" w:eastAsia="zh-CN"/>
        </w:rPr>
        <w:t>，</w:t>
      </w:r>
      <w:r>
        <w:rPr>
          <w:rFonts w:hint="eastAsia" w:eastAsia="宋体" w:cs="Times New Roman"/>
          <w:sz w:val="24"/>
          <w:szCs w:val="24"/>
          <w:lang w:val="en-US" w:eastAsia="zh-CN"/>
        </w:rPr>
        <w:t>为政府制定新能源碳减排激励政策、优化电力碳配额分配提供可靠数据支撑，推动 “双碳” 目标从宏观规划向具象落地转化。</w:t>
      </w:r>
      <w:r>
        <w:rPr>
          <w:rFonts w:hint="eastAsia" w:eastAsia="宋体" w:cs="Times New Roman"/>
          <w:b/>
          <w:bCs/>
          <w:sz w:val="24"/>
          <w:szCs w:val="24"/>
          <w:lang w:val="en-US" w:eastAsia="zh-CN"/>
        </w:rPr>
        <w:t>保障公众用能知情权，引导低碳生活方式。</w:t>
      </w:r>
      <w:r>
        <w:rPr>
          <w:rFonts w:hint="eastAsia" w:eastAsia="宋体" w:cs="Times New Roman"/>
          <w:sz w:val="24"/>
          <w:szCs w:val="24"/>
          <w:lang w:val="en-US" w:eastAsia="zh-CN"/>
        </w:rPr>
        <w:t>标准在建设需考虑因素中强调“数据公开性”，要求系统设置可监测功能，清晰呈现区域、行业及重点用户的用电碳排放情况。这一要求可打破碳数据“专业壁垒”，公众可更直观了解自身用电的碳足迹，避免因信息不透明导致的低碳参与意愿不足问题；同时，基于统一系统的碳数据披露，能推动企业公开用能碳排放信息，倒逼高耗能企业节能降碳，间接降低民生用能成本，引导全社会形成“知碳、减碳”的绿色生活方式。</w:t>
      </w:r>
      <w:r>
        <w:rPr>
          <w:rFonts w:ascii="宋体" w:hAnsi="宋体" w:eastAsia="宋体" w:cs="宋体"/>
          <w:b/>
          <w:bCs/>
          <w:kern w:val="0"/>
          <w:sz w:val="24"/>
          <w:szCs w:val="24"/>
          <w:lang w:val="en-US" w:eastAsia="zh-CN" w:bidi="ar"/>
        </w:rPr>
        <w:t>提升治理效率，降低社会运行成本</w:t>
      </w:r>
      <w:r>
        <w:rPr>
          <w:rFonts w:hint="eastAsia" w:ascii="宋体" w:hAnsi="宋体" w:eastAsia="宋体" w:cs="宋体"/>
          <w:b/>
          <w:bCs/>
          <w:kern w:val="0"/>
          <w:sz w:val="24"/>
          <w:szCs w:val="24"/>
          <w:lang w:val="en-US" w:eastAsia="zh-CN" w:bidi="ar"/>
        </w:rPr>
        <w:t>。</w:t>
      </w:r>
    </w:p>
    <w:p w14:paraId="0E07C934">
      <w:pPr>
        <w:spacing w:line="360" w:lineRule="auto"/>
        <w:rPr>
          <w:rFonts w:hint="eastAsia" w:eastAsia="宋体" w:cs="Times New Roman"/>
          <w:sz w:val="24"/>
          <w:szCs w:val="24"/>
          <w:lang w:val="en-US" w:eastAsia="zh-CN"/>
        </w:rPr>
      </w:pPr>
      <w:r>
        <w:rPr>
          <w:rFonts w:hint="eastAsia" w:eastAsia="宋体" w:cs="Times New Roman"/>
          <w:sz w:val="24"/>
          <w:szCs w:val="24"/>
          <w:lang w:val="en-US" w:eastAsia="zh-CN"/>
        </w:rPr>
        <w:t>标准规定建设需考虑 “数据保护与信息安全”，要求系统保障数据传输与存储安全，可有效解决传统分散系统 “重复建设、数据孤岛、安全风险高” 的痛点。一方面，统一建设规范减少地方政府与企业的重复投入，预计可降低系统建设成本25%以上；另一方面，标准化的系统架构让监管部门无需跨平台调取数据，大幅提升碳监管效率，同时规避数据泄露风险，为社会治理提供 “高效、安全” 的技术支撑。</w:t>
      </w:r>
    </w:p>
    <w:p w14:paraId="008995C6">
      <w:pPr>
        <w:spacing w:line="360" w:lineRule="auto"/>
        <w:ind w:firstLine="480" w:firstLineChars="200"/>
        <w:rPr>
          <w:rFonts w:hint="eastAsia" w:eastAsia="宋体" w:cs="Times New Roman"/>
          <w:sz w:val="24"/>
          <w:szCs w:val="24"/>
          <w:lang w:val="en-US" w:eastAsia="zh-CN"/>
        </w:rPr>
      </w:pPr>
      <w:r>
        <w:rPr>
          <w:rFonts w:hint="eastAsia" w:eastAsia="宋体" w:cs="Times New Roman"/>
          <w:sz w:val="24"/>
          <w:szCs w:val="24"/>
          <w:lang w:val="en-US" w:eastAsia="zh-CN"/>
        </w:rPr>
        <w:t>本标准以电力流碳计量系统设计与建设为核心，通过明确系统组成、原则及建设要素，将从技术升级、市场规范、产业协同三方面赋能产业发展：</w:t>
      </w:r>
      <w:r>
        <w:rPr>
          <w:rFonts w:hint="eastAsia" w:eastAsia="宋体" w:cs="Times New Roman"/>
          <w:b/>
          <w:bCs/>
          <w:sz w:val="24"/>
          <w:szCs w:val="24"/>
          <w:lang w:val="en-US" w:eastAsia="zh-CN"/>
        </w:rPr>
        <w:t>倒逼技术创新升级，引领系统建设技术突破。</w:t>
      </w:r>
      <w:r>
        <w:rPr>
          <w:rFonts w:hint="eastAsia" w:eastAsia="宋体" w:cs="Times New Roman"/>
          <w:sz w:val="24"/>
          <w:szCs w:val="24"/>
          <w:lang w:val="en-US" w:eastAsia="zh-CN"/>
        </w:rPr>
        <w:t>标准在系统组成中纳入智能化核算模块，要求建设时考虑“实时监测设备、状态监测设备”，将倒逼企业突破传统计量系统 “功能单一、适配性差” 的技术瓶颈。同时，标准为科研机构提供明确研发方向，推动“电力系统+碳计量+数字化技术”跨界融合，加速新型传感器、智能核算软件等技术产业化，助力我国碳计量系统产业从“传统建设”向“智慧化、高适配”转型。</w:t>
      </w:r>
      <w:r>
        <w:rPr>
          <w:rFonts w:hint="eastAsia" w:eastAsia="宋体" w:cs="Times New Roman"/>
          <w:b/>
          <w:bCs/>
          <w:sz w:val="24"/>
          <w:szCs w:val="24"/>
          <w:lang w:val="en-US" w:eastAsia="zh-CN"/>
        </w:rPr>
        <w:t>规范市场竞争秩序，激活系统建设市场活力。</w:t>
      </w:r>
      <w:r>
        <w:rPr>
          <w:rFonts w:hint="eastAsia" w:eastAsia="宋体" w:cs="Times New Roman"/>
          <w:sz w:val="24"/>
          <w:szCs w:val="24"/>
          <w:lang w:val="en-US" w:eastAsia="zh-CN"/>
        </w:rPr>
        <w:t>当前碳计量系统建设市场存在“方案不明确、质量标准不统一”问题，部分企业以低价提供简易系统，却无法满足长期稳定运行需求。本标准通过明确系统组成、建设原则及核心要素，建立统一的市场准入与建设标准，淘汰不符合要求的方案。同时，标准的公开性降低市场信息不对称，帮助电力企业、园区等需求方精准选择合规建设方案，推动市场资源向技术领先企业集中。</w:t>
      </w:r>
      <w:r>
        <w:rPr>
          <w:rFonts w:hint="eastAsia" w:ascii="Calibri" w:hAnsi="Calibri" w:eastAsia="宋体" w:cs="Times New Roman"/>
          <w:b/>
          <w:bCs/>
          <w:kern w:val="2"/>
          <w:sz w:val="24"/>
          <w:szCs w:val="24"/>
          <w:lang w:val="en-US" w:eastAsia="zh-CN" w:bidi="ar-SA"/>
        </w:rPr>
        <w:t>推动产业协同联动，构建“电-碳-数字”全链条生态</w:t>
      </w:r>
      <w:r>
        <w:rPr>
          <w:rFonts w:hint="eastAsia" w:eastAsia="宋体" w:cs="Times New Roman"/>
          <w:b/>
          <w:bCs/>
          <w:kern w:val="2"/>
          <w:sz w:val="24"/>
          <w:szCs w:val="24"/>
          <w:lang w:val="en-US" w:eastAsia="zh-CN" w:bidi="ar-SA"/>
        </w:rPr>
        <w:t>。</w:t>
      </w:r>
      <w:r>
        <w:rPr>
          <w:rFonts w:hint="eastAsia" w:eastAsia="宋体" w:cs="Times New Roman"/>
          <w:sz w:val="24"/>
          <w:szCs w:val="24"/>
          <w:lang w:val="en-US" w:eastAsia="zh-CN"/>
        </w:rPr>
        <w:t>标准的适用范围覆盖系统设计与建设，且要求建设时考虑多模块协同、多场景适配，将拉动上下游产业联动：在上游，系统数据采集、核算模块需求将带动高精度传感器、工业软件产业增长；在中游，标准化建设推动系统集成、工程服务企业专业化发展；在下游，系统输出的精准碳数据将赋能碳咨询、碳交易服务产业，帮助电力企业优化碳履约策略。此外，标准要求系统兼容跨区域数据互通，可推动电力行业与钢铁、化工等行业的碳计量系统协同建设，形成“数据互通、产业联动”的碳管理生态，为我国“双碳”背景下的产业结构优化提供关键支撑。</w:t>
      </w:r>
    </w:p>
    <w:p w14:paraId="333D5113">
      <w:pPr>
        <w:pStyle w:val="2"/>
        <w:rPr>
          <w:rFonts w:hint="eastAsia"/>
          <w:sz w:val="28"/>
          <w:szCs w:val="28"/>
        </w:rPr>
      </w:pPr>
      <w:r>
        <w:rPr>
          <w:rFonts w:hint="eastAsia" w:cs="黑体" w:asciiTheme="majorEastAsia" w:hAnsiTheme="majorEastAsia" w:eastAsiaTheme="majorEastAsia"/>
          <w:sz w:val="28"/>
          <w:szCs w:val="28"/>
        </w:rPr>
        <w:t>六、</w:t>
      </w:r>
      <w:r>
        <w:rPr>
          <w:rFonts w:hint="eastAsia"/>
          <w:sz w:val="28"/>
          <w:szCs w:val="28"/>
        </w:rPr>
        <w:t>标准与现有标准、制定中标准的协调配套情况</w:t>
      </w:r>
    </w:p>
    <w:p w14:paraId="30397D37">
      <w:pPr>
        <w:spacing w:line="360" w:lineRule="auto"/>
        <w:ind w:firstLine="480" w:firstLineChars="200"/>
        <w:rPr>
          <w:rFonts w:hint="eastAsia" w:eastAsia="宋体" w:cs="Times New Roman"/>
          <w:sz w:val="24"/>
          <w:szCs w:val="24"/>
          <w:lang w:val="en-US" w:eastAsia="zh-CN"/>
        </w:rPr>
      </w:pPr>
      <w:r>
        <w:rPr>
          <w:sz w:val="24"/>
          <w:szCs w:val="24"/>
        </w:rPr>
        <w:t>与现有标准、制定中的标准没有矛盾。</w:t>
      </w:r>
    </w:p>
    <w:p w14:paraId="5AB8C268">
      <w:pPr>
        <w:pStyle w:val="2"/>
        <w:rPr>
          <w:rFonts w:hint="eastAsia"/>
          <w:sz w:val="28"/>
          <w:szCs w:val="28"/>
          <w:lang w:val="zh-CN"/>
        </w:rPr>
      </w:pPr>
      <w:r>
        <w:rPr>
          <w:rFonts w:hint="eastAsia"/>
          <w:sz w:val="28"/>
          <w:szCs w:val="28"/>
          <w:lang w:val="zh-CN"/>
        </w:rPr>
        <w:t>七、采用国际标准和国外先进标准情况</w:t>
      </w:r>
    </w:p>
    <w:p w14:paraId="21FCA08E">
      <w:pPr>
        <w:spacing w:line="400" w:lineRule="exact"/>
        <w:ind w:firstLine="480" w:firstLineChars="200"/>
        <w:rPr>
          <w:rFonts w:hint="eastAsia" w:eastAsia="宋体" w:cs="Times New Roman"/>
          <w:sz w:val="24"/>
          <w:szCs w:val="24"/>
          <w:lang w:val="en-US" w:eastAsia="zh-CN"/>
        </w:rPr>
      </w:pPr>
      <w:r>
        <w:rPr>
          <w:rFonts w:hint="eastAsia" w:eastAsia="宋体" w:cs="Times New Roman"/>
          <w:sz w:val="24"/>
          <w:szCs w:val="24"/>
          <w:lang w:val="en-US" w:eastAsia="zh-CN"/>
        </w:rPr>
        <w:t>国际层面，ISO 14064、IEC 61970暂未发布针对“基于电力流的碳排放计量系统建设”的专项标准，相关要求分散于碳核算、电力系统标准中，缺乏系统组成、建设原则的全流程规范。</w:t>
      </w:r>
    </w:p>
    <w:p w14:paraId="39ED78C0">
      <w:pPr>
        <w:spacing w:line="400" w:lineRule="exact"/>
        <w:ind w:firstLine="480" w:firstLineChars="200"/>
        <w:rPr>
          <w:rFonts w:hint="eastAsia" w:eastAsia="宋体"/>
          <w:sz w:val="24"/>
          <w:szCs w:val="24"/>
        </w:rPr>
      </w:pPr>
      <w:r>
        <w:rPr>
          <w:rFonts w:hint="eastAsia"/>
          <w:sz w:val="24"/>
          <w:szCs w:val="24"/>
        </w:rPr>
        <w:t>目前国内外没有《基于电力流的碳排放计量  第</w:t>
      </w:r>
      <w:r>
        <w:rPr>
          <w:rFonts w:hint="eastAsia"/>
          <w:sz w:val="24"/>
          <w:szCs w:val="24"/>
          <w:lang w:val="en-US" w:eastAsia="zh-CN"/>
        </w:rPr>
        <w:t>5</w:t>
      </w:r>
      <w:r>
        <w:rPr>
          <w:rFonts w:hint="eastAsia"/>
          <w:sz w:val="24"/>
          <w:szCs w:val="24"/>
        </w:rPr>
        <w:t>部分：</w:t>
      </w:r>
      <w:r>
        <w:rPr>
          <w:rFonts w:hint="eastAsia"/>
          <w:sz w:val="24"/>
          <w:szCs w:val="24"/>
          <w:lang w:eastAsia="zh-CN"/>
        </w:rPr>
        <w:t>计量系统建设指南</w:t>
      </w:r>
      <w:r>
        <w:rPr>
          <w:rFonts w:hint="eastAsia"/>
          <w:sz w:val="24"/>
          <w:szCs w:val="24"/>
        </w:rPr>
        <w:t>》相关行业标准。</w:t>
      </w:r>
      <w:r>
        <w:rPr>
          <w:rFonts w:hint="eastAsia"/>
          <w:sz w:val="24"/>
          <w:szCs w:val="24"/>
          <w:lang w:val="en-US" w:eastAsia="zh-CN"/>
        </w:rPr>
        <w:t>本标准</w:t>
      </w:r>
      <w:r>
        <w:rPr>
          <w:rFonts w:hint="eastAsia" w:eastAsia="宋体"/>
          <w:sz w:val="24"/>
          <w:szCs w:val="24"/>
        </w:rPr>
        <w:t>填补</w:t>
      </w:r>
      <w:r>
        <w:rPr>
          <w:rFonts w:hint="eastAsia" w:eastAsia="宋体"/>
          <w:sz w:val="24"/>
          <w:szCs w:val="24"/>
          <w:lang w:val="en-US" w:eastAsia="zh-CN"/>
        </w:rPr>
        <w:t>了</w:t>
      </w:r>
      <w:r>
        <w:rPr>
          <w:rFonts w:hint="eastAsia" w:eastAsia="宋体"/>
          <w:sz w:val="24"/>
          <w:szCs w:val="24"/>
        </w:rPr>
        <w:t>国际专项规范空白</w:t>
      </w:r>
      <w:r>
        <w:rPr>
          <w:rFonts w:hint="eastAsia" w:eastAsia="宋体"/>
          <w:sz w:val="24"/>
          <w:szCs w:val="24"/>
          <w:lang w:eastAsia="zh-CN"/>
        </w:rPr>
        <w:t>。</w:t>
      </w:r>
      <w:r>
        <w:rPr>
          <w:rFonts w:hint="eastAsia"/>
          <w:sz w:val="24"/>
          <w:szCs w:val="24"/>
        </w:rPr>
        <w:t>通过制定《基于电力流的碳排放计量  第</w:t>
      </w:r>
      <w:r>
        <w:rPr>
          <w:rFonts w:hint="eastAsia"/>
          <w:sz w:val="24"/>
          <w:szCs w:val="24"/>
          <w:lang w:val="en-US" w:eastAsia="zh-CN"/>
        </w:rPr>
        <w:t>5</w:t>
      </w:r>
      <w:r>
        <w:rPr>
          <w:rFonts w:hint="eastAsia"/>
          <w:sz w:val="24"/>
          <w:szCs w:val="24"/>
        </w:rPr>
        <w:t>部分：</w:t>
      </w:r>
      <w:r>
        <w:rPr>
          <w:rFonts w:hint="eastAsia"/>
          <w:sz w:val="24"/>
          <w:szCs w:val="24"/>
          <w:lang w:eastAsia="zh-CN"/>
        </w:rPr>
        <w:t>计量系统建设指南</w:t>
      </w:r>
      <w:r>
        <w:rPr>
          <w:rFonts w:hint="eastAsia"/>
          <w:sz w:val="24"/>
          <w:szCs w:val="24"/>
        </w:rPr>
        <w:t>》，能够统一</w:t>
      </w:r>
      <w:r>
        <w:rPr>
          <w:rFonts w:hint="eastAsia"/>
          <w:sz w:val="24"/>
          <w:szCs w:val="24"/>
          <w:lang w:val="en-US" w:eastAsia="zh-CN"/>
        </w:rPr>
        <w:t>基于电力流的碳排放计量系统建设的总体原则和需考虑的因素，</w:t>
      </w:r>
      <w:r>
        <w:rPr>
          <w:rFonts w:hint="eastAsia" w:eastAsia="宋体"/>
          <w:sz w:val="24"/>
          <w:szCs w:val="24"/>
        </w:rPr>
        <w:t>建设原则强调跨</w:t>
      </w:r>
      <w:r>
        <w:rPr>
          <w:rFonts w:hint="eastAsia" w:eastAsia="宋体"/>
          <w:sz w:val="24"/>
          <w:szCs w:val="24"/>
          <w:lang w:val="en-US" w:eastAsia="zh-CN"/>
        </w:rPr>
        <w:t>信息安全性</w:t>
      </w:r>
      <w:r>
        <w:rPr>
          <w:rFonts w:hint="eastAsia" w:eastAsia="宋体"/>
          <w:sz w:val="24"/>
          <w:szCs w:val="24"/>
        </w:rPr>
        <w:t>，关键指标与国际先进要求同步，既保障国际兼容，又凸显本土化应用优势。​</w:t>
      </w:r>
    </w:p>
    <w:p w14:paraId="27D5D549">
      <w:pPr>
        <w:pStyle w:val="7"/>
      </w:pPr>
    </w:p>
    <w:p w14:paraId="223D2E80">
      <w:pPr>
        <w:pStyle w:val="3"/>
        <w:spacing w:line="400" w:lineRule="exact"/>
        <w:rPr>
          <w:rFonts w:hint="eastAsia" w:cs="黑体" w:asciiTheme="majorEastAsia" w:hAnsiTheme="majorEastAsia" w:eastAsiaTheme="majorEastAsia"/>
          <w:sz w:val="28"/>
          <w:szCs w:val="28"/>
        </w:rPr>
      </w:pPr>
      <w:r>
        <w:rPr>
          <w:rFonts w:hint="eastAsia" w:cs="黑体" w:asciiTheme="majorEastAsia" w:hAnsiTheme="majorEastAsia" w:eastAsiaTheme="majorEastAsia"/>
          <w:sz w:val="28"/>
          <w:szCs w:val="28"/>
        </w:rPr>
        <w:t>八、标准性质的重大分歧意见的处理经过和依据</w:t>
      </w:r>
    </w:p>
    <w:p w14:paraId="7E631C4A">
      <w:pPr>
        <w:spacing w:line="400" w:lineRule="exact"/>
        <w:ind w:firstLine="480" w:firstLineChars="200"/>
        <w:rPr>
          <w:rFonts w:ascii="Times New Roman" w:hAnsi="Times New Roman"/>
          <w:sz w:val="24"/>
          <w:szCs w:val="24"/>
          <w:lang w:val="zh-CN"/>
        </w:rPr>
      </w:pPr>
      <w:r>
        <w:rPr>
          <w:rFonts w:ascii="Times New Roman" w:hAnsi="Times New Roman"/>
          <w:sz w:val="24"/>
          <w:szCs w:val="24"/>
          <w:lang w:val="zh-CN"/>
        </w:rPr>
        <w:t>无。</w:t>
      </w:r>
    </w:p>
    <w:p w14:paraId="1686E82E">
      <w:pPr>
        <w:pStyle w:val="3"/>
        <w:spacing w:line="400" w:lineRule="exact"/>
        <w:rPr>
          <w:rFonts w:hint="eastAsia" w:cs="黑体" w:asciiTheme="majorEastAsia" w:hAnsiTheme="majorEastAsia" w:eastAsiaTheme="majorEastAsia"/>
          <w:sz w:val="28"/>
          <w:szCs w:val="28"/>
        </w:rPr>
      </w:pPr>
      <w:r>
        <w:rPr>
          <w:rFonts w:hint="eastAsia" w:cs="黑体" w:asciiTheme="majorEastAsia" w:hAnsiTheme="majorEastAsia" w:eastAsiaTheme="majorEastAsia"/>
          <w:sz w:val="28"/>
          <w:szCs w:val="28"/>
        </w:rPr>
        <w:t>九、标准性质的建议说明</w:t>
      </w:r>
    </w:p>
    <w:p w14:paraId="354328BA">
      <w:pPr>
        <w:pStyle w:val="3"/>
        <w:ind w:firstLine="480" w:firstLineChars="200"/>
        <w:rPr>
          <w:rFonts w:ascii="Times New Roman" w:hAnsi="Times New Roman"/>
          <w:b w:val="0"/>
          <w:bCs w:val="0"/>
          <w:kern w:val="2"/>
          <w:sz w:val="24"/>
          <w:szCs w:val="24"/>
        </w:rPr>
      </w:pPr>
      <w:r>
        <w:rPr>
          <w:rFonts w:ascii="Times New Roman" w:hAnsi="Times New Roman"/>
          <w:b w:val="0"/>
          <w:bCs w:val="0"/>
          <w:kern w:val="2"/>
          <w:sz w:val="24"/>
          <w:szCs w:val="24"/>
        </w:rPr>
        <w:t>本</w:t>
      </w:r>
      <w:r>
        <w:rPr>
          <w:rFonts w:hint="eastAsia" w:ascii="Times New Roman" w:hAnsi="Times New Roman"/>
          <w:b w:val="0"/>
          <w:bCs w:val="0"/>
          <w:kern w:val="2"/>
          <w:sz w:val="24"/>
          <w:szCs w:val="24"/>
        </w:rPr>
        <w:t>文件为首次制定，</w:t>
      </w:r>
      <w:r>
        <w:rPr>
          <w:rFonts w:ascii="Times New Roman" w:hAnsi="Times New Roman"/>
          <w:b w:val="0"/>
          <w:bCs w:val="0"/>
          <w:kern w:val="2"/>
          <w:sz w:val="24"/>
          <w:szCs w:val="24"/>
        </w:rPr>
        <w:t>为推荐性</w:t>
      </w:r>
      <w:r>
        <w:rPr>
          <w:rFonts w:hint="eastAsia" w:ascii="Times New Roman" w:hAnsi="Times New Roman"/>
          <w:b w:val="0"/>
          <w:bCs w:val="0"/>
          <w:kern w:val="2"/>
          <w:sz w:val="24"/>
          <w:szCs w:val="24"/>
        </w:rPr>
        <w:t>团体</w:t>
      </w:r>
      <w:r>
        <w:rPr>
          <w:rFonts w:ascii="Times New Roman" w:hAnsi="Times New Roman"/>
          <w:b w:val="0"/>
          <w:bCs w:val="0"/>
          <w:kern w:val="2"/>
          <w:sz w:val="24"/>
          <w:szCs w:val="24"/>
        </w:rPr>
        <w:t>标准。</w:t>
      </w:r>
    </w:p>
    <w:p w14:paraId="339DC1FB">
      <w:pPr>
        <w:pStyle w:val="3"/>
        <w:rPr>
          <w:rFonts w:ascii="Times New Roman" w:hAnsi="Times New Roman"/>
          <w:sz w:val="28"/>
          <w:szCs w:val="28"/>
        </w:rPr>
      </w:pPr>
      <w:r>
        <w:rPr>
          <w:rFonts w:hint="eastAsia" w:ascii="Times New Roman" w:hAnsi="Times New Roman"/>
          <w:sz w:val="28"/>
          <w:szCs w:val="28"/>
        </w:rPr>
        <w:t>十</w:t>
      </w:r>
      <w:r>
        <w:rPr>
          <w:rFonts w:ascii="Times New Roman" w:hAnsi="Times New Roman"/>
          <w:sz w:val="28"/>
          <w:szCs w:val="28"/>
        </w:rPr>
        <w:t>、</w:t>
      </w:r>
      <w:r>
        <w:rPr>
          <w:rFonts w:hint="eastAsia" w:ascii="Times New Roman" w:hAnsi="Times New Roman"/>
          <w:sz w:val="28"/>
          <w:szCs w:val="28"/>
        </w:rPr>
        <w:t>贯彻标准的要求和措施建议</w:t>
      </w:r>
    </w:p>
    <w:p w14:paraId="0C8FEB74">
      <w:pPr>
        <w:spacing w:line="400" w:lineRule="exact"/>
        <w:rPr>
          <w:rFonts w:ascii="Times New Roman" w:hAnsi="Times New Roman"/>
          <w:sz w:val="24"/>
          <w:szCs w:val="24"/>
          <w:lang w:val="zh-CN"/>
        </w:rPr>
      </w:pPr>
      <w:r>
        <w:rPr>
          <w:rFonts w:hint="eastAsia" w:ascii="Times New Roman" w:hAnsi="Times New Roman"/>
          <w:sz w:val="24"/>
          <w:szCs w:val="24"/>
        </w:rPr>
        <w:t xml:space="preserve">    </w:t>
      </w:r>
      <w:r>
        <w:rPr>
          <w:rFonts w:ascii="Times New Roman" w:hAnsi="Times New Roman"/>
          <w:sz w:val="24"/>
          <w:szCs w:val="24"/>
          <w:lang w:val="zh-CN"/>
        </w:rPr>
        <w:t>无。</w:t>
      </w:r>
    </w:p>
    <w:p w14:paraId="0797CBCC">
      <w:pPr>
        <w:pStyle w:val="3"/>
        <w:spacing w:line="400" w:lineRule="exact"/>
        <w:rPr>
          <w:rFonts w:hint="eastAsia" w:cs="黑体" w:asciiTheme="majorEastAsia" w:hAnsiTheme="majorEastAsia" w:eastAsiaTheme="majorEastAsia"/>
          <w:sz w:val="28"/>
          <w:szCs w:val="28"/>
        </w:rPr>
      </w:pPr>
      <w:r>
        <w:rPr>
          <w:rFonts w:hint="eastAsia" w:cs="黑体" w:asciiTheme="majorEastAsia" w:hAnsiTheme="majorEastAsia" w:eastAsiaTheme="majorEastAsia"/>
          <w:sz w:val="28"/>
          <w:szCs w:val="28"/>
        </w:rPr>
        <w:t>十一、废止现行相关标准的建议</w:t>
      </w:r>
    </w:p>
    <w:p w14:paraId="50440448">
      <w:pPr>
        <w:spacing w:line="400" w:lineRule="exact"/>
        <w:rPr>
          <w:rFonts w:hint="eastAsia" w:ascii="黑体" w:hAnsi="黑体" w:eastAsia="黑体" w:cs="黑体"/>
          <w:b/>
          <w:bCs/>
          <w:sz w:val="24"/>
          <w:szCs w:val="24"/>
        </w:rPr>
      </w:pPr>
      <w:r>
        <w:rPr>
          <w:rFonts w:hint="eastAsia" w:ascii="宋体" w:hAnsi="宋体" w:cs="宋体"/>
          <w:szCs w:val="21"/>
        </w:rPr>
        <w:t xml:space="preserve">  </w:t>
      </w:r>
      <w:r>
        <w:rPr>
          <w:rFonts w:hint="eastAsia" w:ascii="宋体" w:hAnsi="宋体" w:cs="宋体"/>
          <w:sz w:val="24"/>
          <w:szCs w:val="24"/>
        </w:rPr>
        <w:t xml:space="preserve">  无。</w:t>
      </w:r>
    </w:p>
    <w:p w14:paraId="746E6445">
      <w:pPr>
        <w:pStyle w:val="3"/>
        <w:spacing w:line="400" w:lineRule="exact"/>
        <w:rPr>
          <w:rFonts w:hint="eastAsia" w:cs="黑体" w:asciiTheme="majorEastAsia" w:hAnsiTheme="majorEastAsia" w:eastAsiaTheme="majorEastAsia"/>
          <w:sz w:val="28"/>
          <w:szCs w:val="28"/>
        </w:rPr>
      </w:pPr>
      <w:r>
        <w:rPr>
          <w:rFonts w:hint="eastAsia" w:cs="黑体" w:asciiTheme="majorEastAsia" w:hAnsiTheme="majorEastAsia" w:eastAsiaTheme="majorEastAsia"/>
          <w:sz w:val="28"/>
          <w:szCs w:val="28"/>
        </w:rPr>
        <w:t>十二、其他予以说明的事项</w:t>
      </w:r>
    </w:p>
    <w:p w14:paraId="3ACF3809">
      <w:pPr>
        <w:spacing w:line="360" w:lineRule="auto"/>
        <w:ind w:firstLine="480" w:firstLineChars="200"/>
        <w:rPr>
          <w:rFonts w:hint="eastAsia" w:ascii="宋体" w:hAnsi="宋体" w:cs="宋体"/>
          <w:sz w:val="24"/>
          <w:szCs w:val="24"/>
        </w:rPr>
      </w:pPr>
      <w:r>
        <w:rPr>
          <w:rFonts w:hint="eastAsia"/>
          <w:sz w:val="24"/>
          <w:szCs w:val="24"/>
        </w:rPr>
        <w:t>202</w:t>
      </w:r>
      <w:r>
        <w:rPr>
          <w:rFonts w:hint="eastAsia"/>
          <w:sz w:val="24"/>
          <w:szCs w:val="24"/>
          <w:lang w:val="en-US" w:eastAsia="zh-CN"/>
        </w:rPr>
        <w:t>5</w:t>
      </w:r>
      <w:r>
        <w:rPr>
          <w:rFonts w:hint="eastAsia"/>
          <w:sz w:val="24"/>
          <w:szCs w:val="24"/>
        </w:rPr>
        <w:t>年</w:t>
      </w:r>
      <w:r>
        <w:rPr>
          <w:rFonts w:hint="eastAsia"/>
          <w:sz w:val="24"/>
          <w:szCs w:val="24"/>
          <w:lang w:val="en-US" w:eastAsia="zh-CN"/>
        </w:rPr>
        <w:t>6</w:t>
      </w:r>
      <w:r>
        <w:rPr>
          <w:rFonts w:hint="eastAsia"/>
          <w:sz w:val="24"/>
          <w:szCs w:val="24"/>
        </w:rPr>
        <w:t>月</w:t>
      </w:r>
      <w:r>
        <w:rPr>
          <w:rFonts w:hint="eastAsia"/>
          <w:sz w:val="24"/>
          <w:szCs w:val="24"/>
          <w:lang w:val="en-US" w:eastAsia="zh-CN"/>
        </w:rPr>
        <w:t>11-12</w:t>
      </w:r>
      <w:r>
        <w:rPr>
          <w:rFonts w:hint="eastAsia"/>
          <w:sz w:val="24"/>
          <w:szCs w:val="24"/>
        </w:rPr>
        <w:t>日，在</w:t>
      </w:r>
      <w:r>
        <w:rPr>
          <w:rFonts w:hint="eastAsia"/>
          <w:sz w:val="24"/>
          <w:szCs w:val="24"/>
          <w:lang w:val="en-US" w:eastAsia="zh-CN"/>
        </w:rPr>
        <w:t>池州</w:t>
      </w:r>
      <w:r>
        <w:rPr>
          <w:rFonts w:hint="eastAsia"/>
          <w:sz w:val="24"/>
          <w:szCs w:val="24"/>
        </w:rPr>
        <w:t>市组织召开第一次工作组会议，对工作组讨论稿的标准化对象、结构进行了认真、细致的逐条讨论，达成标准名字共识，经工作组成员共同讨论</w:t>
      </w:r>
      <w:r>
        <w:rPr>
          <w:rFonts w:hint="eastAsia" w:ascii="宋体" w:hAnsi="宋体" w:cs="宋体"/>
          <w:sz w:val="24"/>
          <w:szCs w:val="24"/>
        </w:rPr>
        <w:t>将原立项名称《基于电力流的碳排放计量 第5部分：计量监测系统建设指南》改为《基于电力流的碳排放计量 第5部分：计量系统建设指南》。</w:t>
      </w:r>
    </w:p>
    <w:p w14:paraId="4B463548">
      <w:pPr>
        <w:spacing w:line="400" w:lineRule="exact"/>
        <w:rPr>
          <w:rFonts w:hint="eastAsia" w:ascii="宋体" w:hAnsi="宋体" w:cs="宋体"/>
          <w:sz w:val="24"/>
          <w:szCs w:val="24"/>
        </w:rPr>
      </w:pPr>
    </w:p>
    <w:sectPr>
      <w:headerReference r:id="rId3" w:type="default"/>
      <w:footerReference r:id="rId4" w:type="default"/>
      <w:pgSz w:w="11906" w:h="16838"/>
      <w:pgMar w:top="1440" w:right="1800" w:bottom="1440" w:left="1800"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Cambria">
    <w:panose1 w:val="02040503050406030204"/>
    <w:charset w:val="00"/>
    <w:family w:val="roman"/>
    <w:pitch w:val="default"/>
    <w:sig w:usb0="E00002FF" w:usb1="400004FF" w:usb2="00000000" w:usb3="00000000" w:csb0="2000019F" w:csb1="00000000"/>
  </w:font>
  <w:font w:name="微软雅黑">
    <w:panose1 w:val="020B0503020204020204"/>
    <w:charset w:val="86"/>
    <w:family w:val="auto"/>
    <w:pitch w:val="default"/>
    <w:sig w:usb0="80000287" w:usb1="28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3BC07F">
    <w:pPr>
      <w:pStyle w:val="11"/>
      <w:jc w:val="center"/>
    </w:pPr>
    <w:r>
      <w:fldChar w:fldCharType="begin"/>
    </w:r>
    <w:r>
      <w:instrText xml:space="preserve">PAGE   \* MERGEFORMAT</w:instrText>
    </w:r>
    <w:r>
      <w:fldChar w:fldCharType="separate"/>
    </w:r>
    <w:r>
      <w:t>5</w:t>
    </w:r>
    <w:r>
      <w:fldChar w:fldCharType="end"/>
    </w:r>
  </w:p>
  <w:p w14:paraId="7F75010B">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D9A74A">
    <w:pPr>
      <w:ind w:left="360"/>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FC91163"/>
    <w:multiLevelType w:val="multilevel"/>
    <w:tmpl w:val="1FC91163"/>
    <w:lvl w:ilvl="0" w:tentative="0">
      <w:start w:val="1"/>
      <w:numFmt w:val="decimal"/>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44"/>
      <w:suff w:val="nothing"/>
      <w:lvlText w:val="%1.%2　"/>
      <w:lvlJc w:val="left"/>
      <w:pPr>
        <w:ind w:left="284" w:firstLine="0"/>
      </w:pPr>
      <w:rPr>
        <w:rFonts w:hint="eastAsia" w:ascii="黑体" w:hAnsi="Times New Roman" w:eastAsia="黑体" w:cs="Times New Roman"/>
        <w:b w:val="0"/>
        <w:bCs w:val="0"/>
        <w:i w:val="0"/>
        <w:iCs w:val="0"/>
        <w:caps w:val="0"/>
        <w:strike w:val="0"/>
        <w:dstrike w:val="0"/>
        <w:vanish w:val="0"/>
        <w:spacing w:val="0"/>
        <w:kern w:val="0"/>
        <w:position w:val="0"/>
        <w:sz w:val="21"/>
        <w:szCs w:val="21"/>
        <w:u w:val="none"/>
        <w:vertAlign w:val="baseline"/>
      </w:rPr>
    </w:lvl>
    <w:lvl w:ilvl="2" w:tentative="0">
      <w:start w:val="1"/>
      <w:numFmt w:val="decimal"/>
      <w:pStyle w:val="45"/>
      <w:suff w:val="nothing"/>
      <w:lvlText w:val="%1.%2.%3　"/>
      <w:lvlJc w:val="left"/>
      <w:pPr>
        <w:ind w:left="1419" w:firstLine="0"/>
      </w:pPr>
      <w:rPr>
        <w:rFonts w:hint="eastAsia" w:ascii="黑体" w:hAnsi="Times New Roman" w:eastAsia="黑体"/>
        <w:b w:val="0"/>
        <w:i w:val="0"/>
        <w:sz w:val="21"/>
      </w:rPr>
    </w:lvl>
    <w:lvl w:ilvl="3" w:tentative="0">
      <w:start w:val="1"/>
      <w:numFmt w:val="decimal"/>
      <w:suff w:val="nothing"/>
      <w:lvlText w:val="%1.%2.%3.%4　"/>
      <w:lvlJc w:val="left"/>
      <w:pPr>
        <w:ind w:left="71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
    <w:nsid w:val="44C50F90"/>
    <w:multiLevelType w:val="multilevel"/>
    <w:tmpl w:val="44C50F90"/>
    <w:lvl w:ilvl="0" w:tentative="0">
      <w:start w:val="1"/>
      <w:numFmt w:val="lowerLetter"/>
      <w:pStyle w:val="29"/>
      <w:lvlText w:val="%1)"/>
      <w:lvlJc w:val="left"/>
      <w:pPr>
        <w:tabs>
          <w:tab w:val="left" w:pos="851"/>
        </w:tabs>
        <w:ind w:left="851" w:hanging="426"/>
      </w:pPr>
      <w:rPr>
        <w:rFonts w:hint="eastAsia" w:ascii="宋体" w:hAnsi="Times New Roman" w:eastAsia="宋体"/>
        <w:sz w:val="21"/>
      </w:rPr>
    </w:lvl>
    <w:lvl w:ilvl="1" w:tentative="0">
      <w:start w:val="1"/>
      <w:numFmt w:val="decimal"/>
      <w:pStyle w:val="30"/>
      <w:lvlText w:val="%2)"/>
      <w:lvlJc w:val="left"/>
      <w:pPr>
        <w:tabs>
          <w:tab w:val="left" w:pos="1276"/>
        </w:tabs>
        <w:ind w:left="1276" w:hanging="425"/>
      </w:pPr>
      <w:rPr>
        <w:rFonts w:hint="eastAsia" w:ascii="宋体" w:hAnsi="Times New Roman" w:eastAsia="宋体"/>
        <w:sz w:val="21"/>
      </w:rPr>
    </w:lvl>
    <w:lvl w:ilvl="2" w:tentative="0">
      <w:start w:val="1"/>
      <w:numFmt w:val="decimal"/>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2">
    <w:nsid w:val="6CEA2025"/>
    <w:multiLevelType w:val="multilevel"/>
    <w:tmpl w:val="6CEA2025"/>
    <w:lvl w:ilvl="0" w:tentative="0">
      <w:start w:val="1"/>
      <w:numFmt w:val="none"/>
      <w:suff w:val="nothing"/>
      <w:lvlText w:val="%1"/>
      <w:lvlJc w:val="left"/>
      <w:pPr>
        <w:ind w:left="0" w:firstLine="0"/>
      </w:pPr>
      <w:rPr>
        <w:rFonts w:hint="eastAsia"/>
      </w:rPr>
    </w:lvl>
    <w:lvl w:ilvl="1" w:tentative="0">
      <w:start w:val="1"/>
      <w:numFmt w:val="decimal"/>
      <w:pStyle w:val="46"/>
      <w:suff w:val="nothing"/>
      <w:lvlText w:val="%1%2　"/>
      <w:lvlJc w:val="left"/>
      <w:pPr>
        <w:ind w:left="0" w:firstLine="0"/>
      </w:pPr>
      <w:rPr>
        <w:rFonts w:hint="eastAsia" w:ascii="黑体" w:eastAsia="黑体"/>
        <w:b w:val="0"/>
        <w:i w:val="0"/>
        <w:sz w:val="21"/>
      </w:rPr>
    </w:lvl>
    <w:lvl w:ilvl="2" w:tentative="0">
      <w:start w:val="1"/>
      <w:numFmt w:val="decimal"/>
      <w:pStyle w:val="47"/>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color w:val="000000"/>
        <w:spacing w:val="0"/>
        <w:kern w:val="0"/>
        <w:position w:val="0"/>
        <w:sz w:val="21"/>
        <w:u w:val="none"/>
      </w:rPr>
    </w:lvl>
    <w:lvl w:ilvl="3" w:tentative="0">
      <w:start w:val="1"/>
      <w:numFmt w:val="decimal"/>
      <w:pStyle w:val="31"/>
      <w:suff w:val="nothing"/>
      <w:lvlText w:val="%1%2.%3.%4　"/>
      <w:lvlJc w:val="left"/>
      <w:pPr>
        <w:ind w:left="0" w:firstLine="0"/>
      </w:pPr>
      <w:rPr>
        <w:rFonts w:hint="eastAsia" w:ascii="黑体" w:eastAsia="黑体"/>
        <w:b w:val="0"/>
        <w:i w:val="0"/>
        <w:sz w:val="21"/>
      </w:rPr>
    </w:lvl>
    <w:lvl w:ilvl="4" w:tentative="0">
      <w:start w:val="1"/>
      <w:numFmt w:val="decimal"/>
      <w:suff w:val="nothing"/>
      <w:lvlText w:val="%1%2.%3.%4.%5　"/>
      <w:lvlJc w:val="left"/>
      <w:pPr>
        <w:ind w:left="0" w:firstLine="0"/>
      </w:pPr>
      <w:rPr>
        <w:rFonts w:hint="eastAsia" w:ascii="黑体" w:eastAsia="黑体"/>
        <w:b w:val="0"/>
        <w:i w:val="0"/>
        <w:sz w:val="21"/>
      </w:rPr>
    </w:lvl>
    <w:lvl w:ilvl="5" w:tentative="0">
      <w:start w:val="1"/>
      <w:numFmt w:val="decimal"/>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E2ZmIwNmJmZTI5ZWNhNTI3M2U2MzliNWE3ZmM3MWEifQ=="/>
  </w:docVars>
  <w:rsids>
    <w:rsidRoot w:val="00C07FD7"/>
    <w:rsid w:val="000125B6"/>
    <w:rsid w:val="00021860"/>
    <w:rsid w:val="00021AD1"/>
    <w:rsid w:val="00023888"/>
    <w:rsid w:val="00024C13"/>
    <w:rsid w:val="00026950"/>
    <w:rsid w:val="00026A6A"/>
    <w:rsid w:val="000327DB"/>
    <w:rsid w:val="00032CEB"/>
    <w:rsid w:val="000342AE"/>
    <w:rsid w:val="00035ABD"/>
    <w:rsid w:val="00035D6A"/>
    <w:rsid w:val="00041DA0"/>
    <w:rsid w:val="0004323C"/>
    <w:rsid w:val="00043280"/>
    <w:rsid w:val="000445C2"/>
    <w:rsid w:val="00044EBD"/>
    <w:rsid w:val="00053DD0"/>
    <w:rsid w:val="00056E08"/>
    <w:rsid w:val="00060C0C"/>
    <w:rsid w:val="000746BA"/>
    <w:rsid w:val="00076F33"/>
    <w:rsid w:val="00091438"/>
    <w:rsid w:val="000929A1"/>
    <w:rsid w:val="00092EC0"/>
    <w:rsid w:val="00097BE9"/>
    <w:rsid w:val="000A0560"/>
    <w:rsid w:val="000A324F"/>
    <w:rsid w:val="000B0CCB"/>
    <w:rsid w:val="000B237C"/>
    <w:rsid w:val="000C3349"/>
    <w:rsid w:val="000C6A2D"/>
    <w:rsid w:val="000D17D0"/>
    <w:rsid w:val="000D4836"/>
    <w:rsid w:val="000D4CE1"/>
    <w:rsid w:val="000D7AD7"/>
    <w:rsid w:val="000E047B"/>
    <w:rsid w:val="000E2158"/>
    <w:rsid w:val="000F6655"/>
    <w:rsid w:val="00114B97"/>
    <w:rsid w:val="0012193A"/>
    <w:rsid w:val="001237E0"/>
    <w:rsid w:val="00131C05"/>
    <w:rsid w:val="001327F4"/>
    <w:rsid w:val="0013476B"/>
    <w:rsid w:val="00140FB8"/>
    <w:rsid w:val="00141B98"/>
    <w:rsid w:val="001446ED"/>
    <w:rsid w:val="00146EDD"/>
    <w:rsid w:val="00160328"/>
    <w:rsid w:val="00161356"/>
    <w:rsid w:val="00165275"/>
    <w:rsid w:val="00176D1E"/>
    <w:rsid w:val="00183189"/>
    <w:rsid w:val="00183CAA"/>
    <w:rsid w:val="00184D4C"/>
    <w:rsid w:val="00192421"/>
    <w:rsid w:val="00192C8B"/>
    <w:rsid w:val="00194207"/>
    <w:rsid w:val="001A424B"/>
    <w:rsid w:val="001A507A"/>
    <w:rsid w:val="001A72FB"/>
    <w:rsid w:val="001B4E14"/>
    <w:rsid w:val="001C06AA"/>
    <w:rsid w:val="001C3ED8"/>
    <w:rsid w:val="001C5231"/>
    <w:rsid w:val="001C55ED"/>
    <w:rsid w:val="001D038D"/>
    <w:rsid w:val="001E6353"/>
    <w:rsid w:val="001F266E"/>
    <w:rsid w:val="001F5976"/>
    <w:rsid w:val="001F7207"/>
    <w:rsid w:val="001F7AB4"/>
    <w:rsid w:val="002004B4"/>
    <w:rsid w:val="002004D0"/>
    <w:rsid w:val="00206A66"/>
    <w:rsid w:val="00210C5F"/>
    <w:rsid w:val="002145BD"/>
    <w:rsid w:val="00220EB9"/>
    <w:rsid w:val="00221BDC"/>
    <w:rsid w:val="00224108"/>
    <w:rsid w:val="00225331"/>
    <w:rsid w:val="00226544"/>
    <w:rsid w:val="00233031"/>
    <w:rsid w:val="00243479"/>
    <w:rsid w:val="00247ADE"/>
    <w:rsid w:val="00247BF2"/>
    <w:rsid w:val="002542CE"/>
    <w:rsid w:val="0026529F"/>
    <w:rsid w:val="00282694"/>
    <w:rsid w:val="00284FBA"/>
    <w:rsid w:val="00285508"/>
    <w:rsid w:val="002864C4"/>
    <w:rsid w:val="00292180"/>
    <w:rsid w:val="00293FB6"/>
    <w:rsid w:val="00294CF4"/>
    <w:rsid w:val="002A3B58"/>
    <w:rsid w:val="002A484B"/>
    <w:rsid w:val="002A6CD7"/>
    <w:rsid w:val="002B4C66"/>
    <w:rsid w:val="002C0031"/>
    <w:rsid w:val="002C06C2"/>
    <w:rsid w:val="002C464D"/>
    <w:rsid w:val="002C4E91"/>
    <w:rsid w:val="002C769C"/>
    <w:rsid w:val="002E1DAF"/>
    <w:rsid w:val="002E1F6F"/>
    <w:rsid w:val="002E2F23"/>
    <w:rsid w:val="002E30C6"/>
    <w:rsid w:val="002F02C5"/>
    <w:rsid w:val="002F3DF7"/>
    <w:rsid w:val="002F4CF5"/>
    <w:rsid w:val="002F7CA0"/>
    <w:rsid w:val="0030109E"/>
    <w:rsid w:val="00307E6D"/>
    <w:rsid w:val="00310AD6"/>
    <w:rsid w:val="00311B24"/>
    <w:rsid w:val="00312657"/>
    <w:rsid w:val="00313D58"/>
    <w:rsid w:val="00316665"/>
    <w:rsid w:val="00316AEB"/>
    <w:rsid w:val="00317C9F"/>
    <w:rsid w:val="0032633E"/>
    <w:rsid w:val="0034542C"/>
    <w:rsid w:val="00345489"/>
    <w:rsid w:val="00351087"/>
    <w:rsid w:val="003604FE"/>
    <w:rsid w:val="00371A8E"/>
    <w:rsid w:val="0037225A"/>
    <w:rsid w:val="003736A6"/>
    <w:rsid w:val="003770AF"/>
    <w:rsid w:val="00380C6C"/>
    <w:rsid w:val="003817FA"/>
    <w:rsid w:val="00381AA0"/>
    <w:rsid w:val="003823C7"/>
    <w:rsid w:val="003A084F"/>
    <w:rsid w:val="003A1A73"/>
    <w:rsid w:val="003A2E44"/>
    <w:rsid w:val="003B0E59"/>
    <w:rsid w:val="003B5A86"/>
    <w:rsid w:val="003C273A"/>
    <w:rsid w:val="003D40C4"/>
    <w:rsid w:val="003D52D5"/>
    <w:rsid w:val="003D587D"/>
    <w:rsid w:val="003D759D"/>
    <w:rsid w:val="003E7257"/>
    <w:rsid w:val="003F529A"/>
    <w:rsid w:val="003F5A3A"/>
    <w:rsid w:val="004001EF"/>
    <w:rsid w:val="00403C78"/>
    <w:rsid w:val="00411CCA"/>
    <w:rsid w:val="0042301F"/>
    <w:rsid w:val="00426380"/>
    <w:rsid w:val="00426D41"/>
    <w:rsid w:val="00433F0D"/>
    <w:rsid w:val="00446D83"/>
    <w:rsid w:val="00450B65"/>
    <w:rsid w:val="00453CFD"/>
    <w:rsid w:val="00454BA9"/>
    <w:rsid w:val="0046366A"/>
    <w:rsid w:val="00472477"/>
    <w:rsid w:val="00473EC6"/>
    <w:rsid w:val="00491AAF"/>
    <w:rsid w:val="00493324"/>
    <w:rsid w:val="00494341"/>
    <w:rsid w:val="00495729"/>
    <w:rsid w:val="004958A9"/>
    <w:rsid w:val="004A56F8"/>
    <w:rsid w:val="004B42FD"/>
    <w:rsid w:val="004B7CD3"/>
    <w:rsid w:val="004D035F"/>
    <w:rsid w:val="004D25D8"/>
    <w:rsid w:val="004D6719"/>
    <w:rsid w:val="004E142A"/>
    <w:rsid w:val="004E5B62"/>
    <w:rsid w:val="004F77A2"/>
    <w:rsid w:val="004F7B35"/>
    <w:rsid w:val="005023D2"/>
    <w:rsid w:val="00504D78"/>
    <w:rsid w:val="00506C65"/>
    <w:rsid w:val="00514919"/>
    <w:rsid w:val="0052574F"/>
    <w:rsid w:val="0053279D"/>
    <w:rsid w:val="005370AB"/>
    <w:rsid w:val="0054263F"/>
    <w:rsid w:val="005453CA"/>
    <w:rsid w:val="00547862"/>
    <w:rsid w:val="005517EF"/>
    <w:rsid w:val="00551D13"/>
    <w:rsid w:val="00552196"/>
    <w:rsid w:val="0055341B"/>
    <w:rsid w:val="00554865"/>
    <w:rsid w:val="00560931"/>
    <w:rsid w:val="00576B8F"/>
    <w:rsid w:val="00580A71"/>
    <w:rsid w:val="00581791"/>
    <w:rsid w:val="00586D07"/>
    <w:rsid w:val="00587F37"/>
    <w:rsid w:val="00596C29"/>
    <w:rsid w:val="005A0A0F"/>
    <w:rsid w:val="005A7101"/>
    <w:rsid w:val="005B04B9"/>
    <w:rsid w:val="005D3277"/>
    <w:rsid w:val="005E1501"/>
    <w:rsid w:val="005E3C02"/>
    <w:rsid w:val="005E5126"/>
    <w:rsid w:val="005F1579"/>
    <w:rsid w:val="005F2E08"/>
    <w:rsid w:val="005F79C2"/>
    <w:rsid w:val="00601078"/>
    <w:rsid w:val="00604FD1"/>
    <w:rsid w:val="00607AF6"/>
    <w:rsid w:val="00612AE7"/>
    <w:rsid w:val="00625C85"/>
    <w:rsid w:val="00626486"/>
    <w:rsid w:val="00634184"/>
    <w:rsid w:val="00642FCC"/>
    <w:rsid w:val="00644264"/>
    <w:rsid w:val="00647254"/>
    <w:rsid w:val="00656F8B"/>
    <w:rsid w:val="00657FF9"/>
    <w:rsid w:val="00667F80"/>
    <w:rsid w:val="00670A94"/>
    <w:rsid w:val="00670EC7"/>
    <w:rsid w:val="0067132A"/>
    <w:rsid w:val="006771EB"/>
    <w:rsid w:val="0068048B"/>
    <w:rsid w:val="00685DCF"/>
    <w:rsid w:val="00686FDF"/>
    <w:rsid w:val="006B265E"/>
    <w:rsid w:val="006B3A9B"/>
    <w:rsid w:val="006C06FD"/>
    <w:rsid w:val="006E04C4"/>
    <w:rsid w:val="006E6D06"/>
    <w:rsid w:val="0070016D"/>
    <w:rsid w:val="007030BB"/>
    <w:rsid w:val="007109C3"/>
    <w:rsid w:val="00713107"/>
    <w:rsid w:val="007201B7"/>
    <w:rsid w:val="00721E6D"/>
    <w:rsid w:val="007320F6"/>
    <w:rsid w:val="00735D69"/>
    <w:rsid w:val="0073722A"/>
    <w:rsid w:val="0074014F"/>
    <w:rsid w:val="00740307"/>
    <w:rsid w:val="00741613"/>
    <w:rsid w:val="007425D3"/>
    <w:rsid w:val="00742878"/>
    <w:rsid w:val="00752B3F"/>
    <w:rsid w:val="00755DF0"/>
    <w:rsid w:val="007638AD"/>
    <w:rsid w:val="007646B5"/>
    <w:rsid w:val="0077233D"/>
    <w:rsid w:val="007731CB"/>
    <w:rsid w:val="00775364"/>
    <w:rsid w:val="007763BD"/>
    <w:rsid w:val="00781EEC"/>
    <w:rsid w:val="00782CFC"/>
    <w:rsid w:val="00783699"/>
    <w:rsid w:val="00792363"/>
    <w:rsid w:val="007932EA"/>
    <w:rsid w:val="00796501"/>
    <w:rsid w:val="007A0FB8"/>
    <w:rsid w:val="007A282E"/>
    <w:rsid w:val="007A39E9"/>
    <w:rsid w:val="007B25F6"/>
    <w:rsid w:val="007B6B4B"/>
    <w:rsid w:val="007B75E0"/>
    <w:rsid w:val="007C53A8"/>
    <w:rsid w:val="007C6BE0"/>
    <w:rsid w:val="007D3FB3"/>
    <w:rsid w:val="007D4263"/>
    <w:rsid w:val="007D5CA9"/>
    <w:rsid w:val="007D773A"/>
    <w:rsid w:val="007E6051"/>
    <w:rsid w:val="007F37E2"/>
    <w:rsid w:val="007F438C"/>
    <w:rsid w:val="007F5B2B"/>
    <w:rsid w:val="007F5D9E"/>
    <w:rsid w:val="007F5EAD"/>
    <w:rsid w:val="00800EB7"/>
    <w:rsid w:val="00805DEA"/>
    <w:rsid w:val="00807BC7"/>
    <w:rsid w:val="00813009"/>
    <w:rsid w:val="00816923"/>
    <w:rsid w:val="0081723B"/>
    <w:rsid w:val="008261D3"/>
    <w:rsid w:val="00834EAE"/>
    <w:rsid w:val="00840377"/>
    <w:rsid w:val="008422E2"/>
    <w:rsid w:val="0085109D"/>
    <w:rsid w:val="008652F1"/>
    <w:rsid w:val="00876073"/>
    <w:rsid w:val="008A1B7C"/>
    <w:rsid w:val="008A4BB3"/>
    <w:rsid w:val="008B5921"/>
    <w:rsid w:val="008B5D3C"/>
    <w:rsid w:val="008B6F36"/>
    <w:rsid w:val="008C2741"/>
    <w:rsid w:val="008C2E7C"/>
    <w:rsid w:val="008D51C7"/>
    <w:rsid w:val="008E7074"/>
    <w:rsid w:val="008F1A3F"/>
    <w:rsid w:val="00904D19"/>
    <w:rsid w:val="0091049B"/>
    <w:rsid w:val="00911E72"/>
    <w:rsid w:val="009123EA"/>
    <w:rsid w:val="00915B37"/>
    <w:rsid w:val="00916365"/>
    <w:rsid w:val="009303E4"/>
    <w:rsid w:val="0094073D"/>
    <w:rsid w:val="00946D87"/>
    <w:rsid w:val="00950997"/>
    <w:rsid w:val="00951150"/>
    <w:rsid w:val="0096265C"/>
    <w:rsid w:val="009649D1"/>
    <w:rsid w:val="00971FFA"/>
    <w:rsid w:val="009729E2"/>
    <w:rsid w:val="00980CC7"/>
    <w:rsid w:val="0098120E"/>
    <w:rsid w:val="00983CE9"/>
    <w:rsid w:val="009909D4"/>
    <w:rsid w:val="009910D3"/>
    <w:rsid w:val="00993015"/>
    <w:rsid w:val="00997646"/>
    <w:rsid w:val="009C5A85"/>
    <w:rsid w:val="009D2B32"/>
    <w:rsid w:val="009D5316"/>
    <w:rsid w:val="009D539D"/>
    <w:rsid w:val="009D5E09"/>
    <w:rsid w:val="009D659E"/>
    <w:rsid w:val="009E3906"/>
    <w:rsid w:val="009E3D3C"/>
    <w:rsid w:val="009E541C"/>
    <w:rsid w:val="009F2FFA"/>
    <w:rsid w:val="009F4E4B"/>
    <w:rsid w:val="009F538F"/>
    <w:rsid w:val="00A00A02"/>
    <w:rsid w:val="00A03AE0"/>
    <w:rsid w:val="00A10C43"/>
    <w:rsid w:val="00A218BA"/>
    <w:rsid w:val="00A33203"/>
    <w:rsid w:val="00A4359C"/>
    <w:rsid w:val="00A43FDA"/>
    <w:rsid w:val="00A45735"/>
    <w:rsid w:val="00A55416"/>
    <w:rsid w:val="00A577E2"/>
    <w:rsid w:val="00A62621"/>
    <w:rsid w:val="00A6425F"/>
    <w:rsid w:val="00A65029"/>
    <w:rsid w:val="00A73B4E"/>
    <w:rsid w:val="00A76F83"/>
    <w:rsid w:val="00A80185"/>
    <w:rsid w:val="00A83ABF"/>
    <w:rsid w:val="00A854F6"/>
    <w:rsid w:val="00A855B9"/>
    <w:rsid w:val="00A9442A"/>
    <w:rsid w:val="00AA02D0"/>
    <w:rsid w:val="00AA1F60"/>
    <w:rsid w:val="00AA22DB"/>
    <w:rsid w:val="00AB29A6"/>
    <w:rsid w:val="00AC2761"/>
    <w:rsid w:val="00AD128C"/>
    <w:rsid w:val="00AD3B06"/>
    <w:rsid w:val="00AE1FA7"/>
    <w:rsid w:val="00AF29E8"/>
    <w:rsid w:val="00AF2FC0"/>
    <w:rsid w:val="00B03E6A"/>
    <w:rsid w:val="00B0432B"/>
    <w:rsid w:val="00B04431"/>
    <w:rsid w:val="00B05335"/>
    <w:rsid w:val="00B07968"/>
    <w:rsid w:val="00B15090"/>
    <w:rsid w:val="00B223D8"/>
    <w:rsid w:val="00B227F6"/>
    <w:rsid w:val="00B25517"/>
    <w:rsid w:val="00B363A1"/>
    <w:rsid w:val="00B40259"/>
    <w:rsid w:val="00B5376B"/>
    <w:rsid w:val="00B67B85"/>
    <w:rsid w:val="00B710A0"/>
    <w:rsid w:val="00B7279A"/>
    <w:rsid w:val="00B82307"/>
    <w:rsid w:val="00B90740"/>
    <w:rsid w:val="00B94948"/>
    <w:rsid w:val="00BA1248"/>
    <w:rsid w:val="00BB392C"/>
    <w:rsid w:val="00BC2A58"/>
    <w:rsid w:val="00BC463B"/>
    <w:rsid w:val="00BC4820"/>
    <w:rsid w:val="00BD2A6B"/>
    <w:rsid w:val="00BE01BA"/>
    <w:rsid w:val="00BE06D9"/>
    <w:rsid w:val="00BE638C"/>
    <w:rsid w:val="00BE6DB7"/>
    <w:rsid w:val="00BF3D86"/>
    <w:rsid w:val="00BF5FAB"/>
    <w:rsid w:val="00C0109A"/>
    <w:rsid w:val="00C02B99"/>
    <w:rsid w:val="00C0676C"/>
    <w:rsid w:val="00C06773"/>
    <w:rsid w:val="00C07FD7"/>
    <w:rsid w:val="00C10DF5"/>
    <w:rsid w:val="00C1489F"/>
    <w:rsid w:val="00C15BDA"/>
    <w:rsid w:val="00C222DD"/>
    <w:rsid w:val="00C24F5C"/>
    <w:rsid w:val="00C267BF"/>
    <w:rsid w:val="00C27F6A"/>
    <w:rsid w:val="00C303B6"/>
    <w:rsid w:val="00C35947"/>
    <w:rsid w:val="00C35DF7"/>
    <w:rsid w:val="00C43FDE"/>
    <w:rsid w:val="00C5112C"/>
    <w:rsid w:val="00C63018"/>
    <w:rsid w:val="00C63B25"/>
    <w:rsid w:val="00C70BED"/>
    <w:rsid w:val="00C75F50"/>
    <w:rsid w:val="00C76244"/>
    <w:rsid w:val="00C81FB7"/>
    <w:rsid w:val="00C82E2D"/>
    <w:rsid w:val="00C85261"/>
    <w:rsid w:val="00CA6EBE"/>
    <w:rsid w:val="00CB00C4"/>
    <w:rsid w:val="00CB125C"/>
    <w:rsid w:val="00CC70B8"/>
    <w:rsid w:val="00CC7860"/>
    <w:rsid w:val="00CD43CB"/>
    <w:rsid w:val="00CD6C9A"/>
    <w:rsid w:val="00CF074D"/>
    <w:rsid w:val="00CF5406"/>
    <w:rsid w:val="00D108F4"/>
    <w:rsid w:val="00D17521"/>
    <w:rsid w:val="00D200D6"/>
    <w:rsid w:val="00D20E90"/>
    <w:rsid w:val="00D23634"/>
    <w:rsid w:val="00D24E58"/>
    <w:rsid w:val="00D27708"/>
    <w:rsid w:val="00D45ECB"/>
    <w:rsid w:val="00D7033C"/>
    <w:rsid w:val="00D84706"/>
    <w:rsid w:val="00D85F2C"/>
    <w:rsid w:val="00D86FBA"/>
    <w:rsid w:val="00D90933"/>
    <w:rsid w:val="00DA2F01"/>
    <w:rsid w:val="00DB0013"/>
    <w:rsid w:val="00DB3454"/>
    <w:rsid w:val="00DB4AD5"/>
    <w:rsid w:val="00DC3630"/>
    <w:rsid w:val="00DD718B"/>
    <w:rsid w:val="00DD7EBE"/>
    <w:rsid w:val="00DE2825"/>
    <w:rsid w:val="00DF5125"/>
    <w:rsid w:val="00DF6A53"/>
    <w:rsid w:val="00DF6A54"/>
    <w:rsid w:val="00E00C17"/>
    <w:rsid w:val="00E025A9"/>
    <w:rsid w:val="00E03D57"/>
    <w:rsid w:val="00E07DFE"/>
    <w:rsid w:val="00E11A6F"/>
    <w:rsid w:val="00E166E6"/>
    <w:rsid w:val="00E1672C"/>
    <w:rsid w:val="00E42B81"/>
    <w:rsid w:val="00E47E34"/>
    <w:rsid w:val="00E50118"/>
    <w:rsid w:val="00E56F40"/>
    <w:rsid w:val="00E72BD3"/>
    <w:rsid w:val="00E74BFC"/>
    <w:rsid w:val="00E75D8B"/>
    <w:rsid w:val="00E77999"/>
    <w:rsid w:val="00E95999"/>
    <w:rsid w:val="00E97720"/>
    <w:rsid w:val="00EA4114"/>
    <w:rsid w:val="00EA7644"/>
    <w:rsid w:val="00EB1602"/>
    <w:rsid w:val="00EB46D7"/>
    <w:rsid w:val="00EC5B9D"/>
    <w:rsid w:val="00ED545D"/>
    <w:rsid w:val="00EE0B00"/>
    <w:rsid w:val="00EE33A6"/>
    <w:rsid w:val="00EF523C"/>
    <w:rsid w:val="00F113E9"/>
    <w:rsid w:val="00F34E25"/>
    <w:rsid w:val="00F3640C"/>
    <w:rsid w:val="00F3754A"/>
    <w:rsid w:val="00F439A4"/>
    <w:rsid w:val="00F46547"/>
    <w:rsid w:val="00F50275"/>
    <w:rsid w:val="00F5148D"/>
    <w:rsid w:val="00F51C56"/>
    <w:rsid w:val="00F52715"/>
    <w:rsid w:val="00F56F60"/>
    <w:rsid w:val="00F61FAD"/>
    <w:rsid w:val="00F64A7B"/>
    <w:rsid w:val="00F82FB7"/>
    <w:rsid w:val="00F842D4"/>
    <w:rsid w:val="00F9244E"/>
    <w:rsid w:val="00F937EE"/>
    <w:rsid w:val="00F96C35"/>
    <w:rsid w:val="00FA4E39"/>
    <w:rsid w:val="00FB4480"/>
    <w:rsid w:val="00FB7F69"/>
    <w:rsid w:val="00FD0271"/>
    <w:rsid w:val="00FD4FE4"/>
    <w:rsid w:val="00FE1150"/>
    <w:rsid w:val="00FE3DBE"/>
    <w:rsid w:val="00FF1806"/>
    <w:rsid w:val="00FF4757"/>
    <w:rsid w:val="00FF5E2B"/>
    <w:rsid w:val="00FF60E8"/>
    <w:rsid w:val="010529A1"/>
    <w:rsid w:val="015D78C2"/>
    <w:rsid w:val="01F8525A"/>
    <w:rsid w:val="025A548B"/>
    <w:rsid w:val="0267744B"/>
    <w:rsid w:val="032B7CCC"/>
    <w:rsid w:val="03C47A3D"/>
    <w:rsid w:val="03EA08A3"/>
    <w:rsid w:val="03EF27C8"/>
    <w:rsid w:val="03F3608F"/>
    <w:rsid w:val="03F73430"/>
    <w:rsid w:val="044D4541"/>
    <w:rsid w:val="04B406C8"/>
    <w:rsid w:val="051A11D0"/>
    <w:rsid w:val="051B0C7C"/>
    <w:rsid w:val="055B54AE"/>
    <w:rsid w:val="05B71053"/>
    <w:rsid w:val="061D37E4"/>
    <w:rsid w:val="07282BD2"/>
    <w:rsid w:val="073525D0"/>
    <w:rsid w:val="07933427"/>
    <w:rsid w:val="07BE0EAF"/>
    <w:rsid w:val="084D6DC9"/>
    <w:rsid w:val="08591C04"/>
    <w:rsid w:val="08C30585"/>
    <w:rsid w:val="090215F0"/>
    <w:rsid w:val="091229C5"/>
    <w:rsid w:val="093B6561"/>
    <w:rsid w:val="094B1189"/>
    <w:rsid w:val="09FF031A"/>
    <w:rsid w:val="0A95328F"/>
    <w:rsid w:val="0A9E3E3B"/>
    <w:rsid w:val="0AA00011"/>
    <w:rsid w:val="0B090D2C"/>
    <w:rsid w:val="0B257C4F"/>
    <w:rsid w:val="0B9567CA"/>
    <w:rsid w:val="0C7A2535"/>
    <w:rsid w:val="0C7A6ED4"/>
    <w:rsid w:val="0D1C75CD"/>
    <w:rsid w:val="0D5F0B5D"/>
    <w:rsid w:val="0EE86A55"/>
    <w:rsid w:val="10DF406E"/>
    <w:rsid w:val="11926D8D"/>
    <w:rsid w:val="11E90053"/>
    <w:rsid w:val="12BF58FF"/>
    <w:rsid w:val="12F24C1A"/>
    <w:rsid w:val="130509C1"/>
    <w:rsid w:val="13176148"/>
    <w:rsid w:val="13760D4E"/>
    <w:rsid w:val="13767950"/>
    <w:rsid w:val="14147A3B"/>
    <w:rsid w:val="15020CA3"/>
    <w:rsid w:val="155D62E6"/>
    <w:rsid w:val="16035571"/>
    <w:rsid w:val="162639CD"/>
    <w:rsid w:val="16436BBB"/>
    <w:rsid w:val="16970417"/>
    <w:rsid w:val="16BB474E"/>
    <w:rsid w:val="180E1119"/>
    <w:rsid w:val="18393541"/>
    <w:rsid w:val="1865506A"/>
    <w:rsid w:val="18A176F2"/>
    <w:rsid w:val="18A500EF"/>
    <w:rsid w:val="18C35161"/>
    <w:rsid w:val="195D7E33"/>
    <w:rsid w:val="198552B3"/>
    <w:rsid w:val="19970503"/>
    <w:rsid w:val="19C27D7F"/>
    <w:rsid w:val="1A55EF0C"/>
    <w:rsid w:val="1B002FFA"/>
    <w:rsid w:val="1B9907D4"/>
    <w:rsid w:val="1BE76BEB"/>
    <w:rsid w:val="1C0C749B"/>
    <w:rsid w:val="1C2A1FFA"/>
    <w:rsid w:val="1CAD7018"/>
    <w:rsid w:val="1D4460EE"/>
    <w:rsid w:val="1D4C369E"/>
    <w:rsid w:val="1D7D286E"/>
    <w:rsid w:val="1D7F2551"/>
    <w:rsid w:val="1DD31238"/>
    <w:rsid w:val="1EC427DB"/>
    <w:rsid w:val="1F417CF9"/>
    <w:rsid w:val="1F6736C2"/>
    <w:rsid w:val="1F783185"/>
    <w:rsid w:val="1FBF7A6F"/>
    <w:rsid w:val="2071095A"/>
    <w:rsid w:val="20840C8E"/>
    <w:rsid w:val="208D6BBB"/>
    <w:rsid w:val="21D7460A"/>
    <w:rsid w:val="2216145C"/>
    <w:rsid w:val="223649D8"/>
    <w:rsid w:val="228F33A1"/>
    <w:rsid w:val="22A45836"/>
    <w:rsid w:val="22B34C76"/>
    <w:rsid w:val="22FF7A6F"/>
    <w:rsid w:val="23027041"/>
    <w:rsid w:val="237A0EA4"/>
    <w:rsid w:val="237D208A"/>
    <w:rsid w:val="238C742E"/>
    <w:rsid w:val="23A75EEF"/>
    <w:rsid w:val="24481FE0"/>
    <w:rsid w:val="248311C0"/>
    <w:rsid w:val="248764B8"/>
    <w:rsid w:val="24BC14A0"/>
    <w:rsid w:val="2538360D"/>
    <w:rsid w:val="259768C4"/>
    <w:rsid w:val="25F36AC0"/>
    <w:rsid w:val="26177B96"/>
    <w:rsid w:val="26A45E4D"/>
    <w:rsid w:val="26D20B6F"/>
    <w:rsid w:val="272711D4"/>
    <w:rsid w:val="27533EE6"/>
    <w:rsid w:val="27A75FE0"/>
    <w:rsid w:val="29417347"/>
    <w:rsid w:val="29A852E1"/>
    <w:rsid w:val="29EB4EC7"/>
    <w:rsid w:val="2A2F41FE"/>
    <w:rsid w:val="2A4D3368"/>
    <w:rsid w:val="2A721FF8"/>
    <w:rsid w:val="2AA1140C"/>
    <w:rsid w:val="2B15743C"/>
    <w:rsid w:val="2B187193"/>
    <w:rsid w:val="2B2C3011"/>
    <w:rsid w:val="2B59385C"/>
    <w:rsid w:val="2B882FE3"/>
    <w:rsid w:val="2BFE0E57"/>
    <w:rsid w:val="2CBD3F75"/>
    <w:rsid w:val="2CF27769"/>
    <w:rsid w:val="2CF74318"/>
    <w:rsid w:val="2CFB12C0"/>
    <w:rsid w:val="2E060545"/>
    <w:rsid w:val="2E1F36AF"/>
    <w:rsid w:val="2FFC7C4A"/>
    <w:rsid w:val="30305AEA"/>
    <w:rsid w:val="304B257B"/>
    <w:rsid w:val="307C0364"/>
    <w:rsid w:val="30B0524B"/>
    <w:rsid w:val="30B11B46"/>
    <w:rsid w:val="31EB4AD1"/>
    <w:rsid w:val="324C2EAE"/>
    <w:rsid w:val="32D166F5"/>
    <w:rsid w:val="33152293"/>
    <w:rsid w:val="339F6C4E"/>
    <w:rsid w:val="33DA06F7"/>
    <w:rsid w:val="340F48FC"/>
    <w:rsid w:val="34265515"/>
    <w:rsid w:val="343C1419"/>
    <w:rsid w:val="34AF2C20"/>
    <w:rsid w:val="34C11256"/>
    <w:rsid w:val="35031581"/>
    <w:rsid w:val="351202FF"/>
    <w:rsid w:val="351647A5"/>
    <w:rsid w:val="35BC388F"/>
    <w:rsid w:val="3609360F"/>
    <w:rsid w:val="361B04A0"/>
    <w:rsid w:val="365C6355"/>
    <w:rsid w:val="36646E1F"/>
    <w:rsid w:val="36825C5E"/>
    <w:rsid w:val="36C55F68"/>
    <w:rsid w:val="36C85AB1"/>
    <w:rsid w:val="36E4386D"/>
    <w:rsid w:val="37265173"/>
    <w:rsid w:val="37346B23"/>
    <w:rsid w:val="37D35893"/>
    <w:rsid w:val="383E4EC8"/>
    <w:rsid w:val="385A6D44"/>
    <w:rsid w:val="386A7099"/>
    <w:rsid w:val="389337B6"/>
    <w:rsid w:val="389B7811"/>
    <w:rsid w:val="3922196A"/>
    <w:rsid w:val="393E24A6"/>
    <w:rsid w:val="39A560B6"/>
    <w:rsid w:val="3AA14BDA"/>
    <w:rsid w:val="3B267C8A"/>
    <w:rsid w:val="3BC86EC9"/>
    <w:rsid w:val="3BE6368D"/>
    <w:rsid w:val="3C211CB3"/>
    <w:rsid w:val="3C523343"/>
    <w:rsid w:val="3C772F67"/>
    <w:rsid w:val="3C890106"/>
    <w:rsid w:val="3D006466"/>
    <w:rsid w:val="3D1651F0"/>
    <w:rsid w:val="3D4D254F"/>
    <w:rsid w:val="3D6B1A8C"/>
    <w:rsid w:val="3DED4844"/>
    <w:rsid w:val="3E712FA9"/>
    <w:rsid w:val="3EBE5E7C"/>
    <w:rsid w:val="3F5F3197"/>
    <w:rsid w:val="3F980BD8"/>
    <w:rsid w:val="3FAD462D"/>
    <w:rsid w:val="3FB53538"/>
    <w:rsid w:val="3FB809BF"/>
    <w:rsid w:val="3FEC7CB4"/>
    <w:rsid w:val="3FFD724D"/>
    <w:rsid w:val="40687AEB"/>
    <w:rsid w:val="40DC4C45"/>
    <w:rsid w:val="40DF6FA1"/>
    <w:rsid w:val="41327A97"/>
    <w:rsid w:val="41922BF1"/>
    <w:rsid w:val="41A20AF6"/>
    <w:rsid w:val="4218487C"/>
    <w:rsid w:val="42486ADC"/>
    <w:rsid w:val="426E4241"/>
    <w:rsid w:val="42F1542D"/>
    <w:rsid w:val="43085A8E"/>
    <w:rsid w:val="43251536"/>
    <w:rsid w:val="43CF576B"/>
    <w:rsid w:val="43D766A6"/>
    <w:rsid w:val="44167D7E"/>
    <w:rsid w:val="445E5402"/>
    <w:rsid w:val="446C1C00"/>
    <w:rsid w:val="44774F25"/>
    <w:rsid w:val="4479634B"/>
    <w:rsid w:val="45841D41"/>
    <w:rsid w:val="458D7872"/>
    <w:rsid w:val="45A80E29"/>
    <w:rsid w:val="46387E1F"/>
    <w:rsid w:val="46496788"/>
    <w:rsid w:val="465E0411"/>
    <w:rsid w:val="46633C2B"/>
    <w:rsid w:val="467F622E"/>
    <w:rsid w:val="46CB1754"/>
    <w:rsid w:val="46E60E0B"/>
    <w:rsid w:val="46E771D4"/>
    <w:rsid w:val="47170634"/>
    <w:rsid w:val="47B411D0"/>
    <w:rsid w:val="47C066CC"/>
    <w:rsid w:val="47D55B81"/>
    <w:rsid w:val="48B6365C"/>
    <w:rsid w:val="48C64ECB"/>
    <w:rsid w:val="48FB6A8F"/>
    <w:rsid w:val="493A6E76"/>
    <w:rsid w:val="497F6E31"/>
    <w:rsid w:val="499D3D96"/>
    <w:rsid w:val="49C778F0"/>
    <w:rsid w:val="49DF1C3F"/>
    <w:rsid w:val="49EC488A"/>
    <w:rsid w:val="4A7207A7"/>
    <w:rsid w:val="4AA27F9B"/>
    <w:rsid w:val="4AE47C47"/>
    <w:rsid w:val="4B32363B"/>
    <w:rsid w:val="4B667B2B"/>
    <w:rsid w:val="4B735DE7"/>
    <w:rsid w:val="4BC3729A"/>
    <w:rsid w:val="4BF23E4F"/>
    <w:rsid w:val="4C4607DA"/>
    <w:rsid w:val="4CFF6B43"/>
    <w:rsid w:val="4D4675DD"/>
    <w:rsid w:val="4D6466CB"/>
    <w:rsid w:val="4E092FFA"/>
    <w:rsid w:val="4EF1621C"/>
    <w:rsid w:val="4F523FD7"/>
    <w:rsid w:val="4F7D08F7"/>
    <w:rsid w:val="50016AC2"/>
    <w:rsid w:val="50123898"/>
    <w:rsid w:val="50427E43"/>
    <w:rsid w:val="51AB68BB"/>
    <w:rsid w:val="51BE3532"/>
    <w:rsid w:val="51FF6B10"/>
    <w:rsid w:val="52A73009"/>
    <w:rsid w:val="52D46729"/>
    <w:rsid w:val="530024DC"/>
    <w:rsid w:val="53194738"/>
    <w:rsid w:val="538232D9"/>
    <w:rsid w:val="53836818"/>
    <w:rsid w:val="53982AFD"/>
    <w:rsid w:val="53DA11A0"/>
    <w:rsid w:val="53E32E8A"/>
    <w:rsid w:val="54915BA9"/>
    <w:rsid w:val="54C2402E"/>
    <w:rsid w:val="55FB82E4"/>
    <w:rsid w:val="564B6B63"/>
    <w:rsid w:val="56514C21"/>
    <w:rsid w:val="567345E6"/>
    <w:rsid w:val="568E367B"/>
    <w:rsid w:val="56A70A5C"/>
    <w:rsid w:val="570B3917"/>
    <w:rsid w:val="5749021F"/>
    <w:rsid w:val="5779299C"/>
    <w:rsid w:val="57AB43F8"/>
    <w:rsid w:val="57D85739"/>
    <w:rsid w:val="580F3D30"/>
    <w:rsid w:val="58221A49"/>
    <w:rsid w:val="58B42698"/>
    <w:rsid w:val="592D575A"/>
    <w:rsid w:val="596407D3"/>
    <w:rsid w:val="598B3C51"/>
    <w:rsid w:val="5A573610"/>
    <w:rsid w:val="5B2568B1"/>
    <w:rsid w:val="5B422B8B"/>
    <w:rsid w:val="5B6F6F42"/>
    <w:rsid w:val="5B825CAE"/>
    <w:rsid w:val="5B9B4131"/>
    <w:rsid w:val="5BEF6CB4"/>
    <w:rsid w:val="5C3929A3"/>
    <w:rsid w:val="5C476F4F"/>
    <w:rsid w:val="5C9748E3"/>
    <w:rsid w:val="5CBC6CD8"/>
    <w:rsid w:val="5CD740E4"/>
    <w:rsid w:val="5DB7078B"/>
    <w:rsid w:val="5DC015CE"/>
    <w:rsid w:val="5E0B66F4"/>
    <w:rsid w:val="5E7D3DE6"/>
    <w:rsid w:val="5EE83FD6"/>
    <w:rsid w:val="5F093E9D"/>
    <w:rsid w:val="5F8C425B"/>
    <w:rsid w:val="5FA42D8A"/>
    <w:rsid w:val="6045177F"/>
    <w:rsid w:val="60F308EF"/>
    <w:rsid w:val="61432360"/>
    <w:rsid w:val="6176717E"/>
    <w:rsid w:val="61A76DC0"/>
    <w:rsid w:val="62186AF3"/>
    <w:rsid w:val="622951B8"/>
    <w:rsid w:val="62492AD7"/>
    <w:rsid w:val="62A10B56"/>
    <w:rsid w:val="62BB5C43"/>
    <w:rsid w:val="63653051"/>
    <w:rsid w:val="63737A74"/>
    <w:rsid w:val="637A6826"/>
    <w:rsid w:val="639C2195"/>
    <w:rsid w:val="640A78AC"/>
    <w:rsid w:val="643B54D8"/>
    <w:rsid w:val="645B0D09"/>
    <w:rsid w:val="658028C9"/>
    <w:rsid w:val="66116ABA"/>
    <w:rsid w:val="665373D5"/>
    <w:rsid w:val="665A00E6"/>
    <w:rsid w:val="66924654"/>
    <w:rsid w:val="66C1218C"/>
    <w:rsid w:val="66DF3DF0"/>
    <w:rsid w:val="6702026A"/>
    <w:rsid w:val="677B141F"/>
    <w:rsid w:val="67FB3499"/>
    <w:rsid w:val="68467EA7"/>
    <w:rsid w:val="693F1FA0"/>
    <w:rsid w:val="69C42446"/>
    <w:rsid w:val="6A2C74F0"/>
    <w:rsid w:val="6A613793"/>
    <w:rsid w:val="6AAB298E"/>
    <w:rsid w:val="6ABE6410"/>
    <w:rsid w:val="6B8D4C87"/>
    <w:rsid w:val="6C2E17BA"/>
    <w:rsid w:val="6D48513C"/>
    <w:rsid w:val="6D762C20"/>
    <w:rsid w:val="6E1950F6"/>
    <w:rsid w:val="6E2A65EF"/>
    <w:rsid w:val="6E310AD8"/>
    <w:rsid w:val="6E940B7A"/>
    <w:rsid w:val="6FBFAB9A"/>
    <w:rsid w:val="6FF9CA01"/>
    <w:rsid w:val="703A272E"/>
    <w:rsid w:val="71726512"/>
    <w:rsid w:val="717C721C"/>
    <w:rsid w:val="719566D4"/>
    <w:rsid w:val="71DE7E1D"/>
    <w:rsid w:val="72294B2F"/>
    <w:rsid w:val="731955B0"/>
    <w:rsid w:val="74D06A77"/>
    <w:rsid w:val="75065DB7"/>
    <w:rsid w:val="76CC29FB"/>
    <w:rsid w:val="770F35FE"/>
    <w:rsid w:val="777B5002"/>
    <w:rsid w:val="77FB6B4C"/>
    <w:rsid w:val="77FB9376"/>
    <w:rsid w:val="78477BB6"/>
    <w:rsid w:val="785A5B03"/>
    <w:rsid w:val="79C4024E"/>
    <w:rsid w:val="79FC265D"/>
    <w:rsid w:val="7A5B9116"/>
    <w:rsid w:val="7ABE4CD1"/>
    <w:rsid w:val="7AFE606B"/>
    <w:rsid w:val="7B5254FB"/>
    <w:rsid w:val="7B5935FD"/>
    <w:rsid w:val="7BB27F43"/>
    <w:rsid w:val="7BB72EDA"/>
    <w:rsid w:val="7BDB6CDC"/>
    <w:rsid w:val="7C340505"/>
    <w:rsid w:val="7C471EE4"/>
    <w:rsid w:val="7CEF2CDE"/>
    <w:rsid w:val="7D4635B2"/>
    <w:rsid w:val="7D64173C"/>
    <w:rsid w:val="7D777A3E"/>
    <w:rsid w:val="7DFC1F91"/>
    <w:rsid w:val="7E0916DD"/>
    <w:rsid w:val="7E405882"/>
    <w:rsid w:val="7EA254FE"/>
    <w:rsid w:val="7EA875E5"/>
    <w:rsid w:val="7F3F716A"/>
    <w:rsid w:val="7FFF168A"/>
    <w:rsid w:val="A7EFDA38"/>
    <w:rsid w:val="B5668F57"/>
    <w:rsid w:val="D68E3D55"/>
    <w:rsid w:val="D6BB14F3"/>
    <w:rsid w:val="DCF729B3"/>
    <w:rsid w:val="DFA96B7F"/>
    <w:rsid w:val="DFDF394B"/>
    <w:rsid w:val="F3AB2DC1"/>
    <w:rsid w:val="F5EF3DD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iPriority="9" w:semiHidden="0"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99" w:semiHidden="0" w:name="toc 1"/>
    <w:lsdException w:qFormat="1" w:unhideWhenUsed="0" w:uiPriority="99" w:semiHidden="0" w:name="toc 2"/>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99" w:name="Normal Indent" w:locked="1"/>
    <w:lsdException w:uiPriority="99" w:name="footnote text" w:locked="1"/>
    <w:lsdException w:qFormat="1" w:unhideWhenUsed="0" w:uiPriority="99" w:name="annotation text"/>
    <w:lsdException w:qFormat="1" w:unhideWhenUsed="0" w:uiPriority="99" w:semiHidden="0" w:name="header"/>
    <w:lsdException w:qFormat="1" w:unhideWhenUsed="0" w:uiPriority="99" w:semiHidden="0" w:name="footer"/>
    <w:lsdException w:uiPriority="99" w:name="index heading" w:locked="1"/>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qFormat="1" w:unhideWhenUsed="0" w:uiPriority="99" w:name="annotation reference"/>
    <w:lsdException w:uiPriority="99" w:name="line number" w:locked="1"/>
    <w:lsdException w:uiPriority="99" w:name="page number" w:locked="1"/>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0" w:semiHidden="0" w:name="Title" w:locked="1"/>
    <w:lsdException w:uiPriority="99" w:name="Closing" w:locked="1"/>
    <w:lsdException w:uiPriority="99" w:name="Signature" w:locked="1"/>
    <w:lsdException w:qFormat="1" w:uiPriority="1" w:name="Default Paragraph Font"/>
    <w:lsdException w:qFormat="1" w:unhideWhenUsed="0" w:uiPriority="1" w:semiHidden="0" w:name="Body Text" w:locked="1"/>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qFormat="1" w:unhideWhenUsed="0" w:uiPriority="99" w:name="Date"/>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qFormat="1" w:unhideWhenUsed="0" w:uiPriority="99" w:name="Hyperlink"/>
    <w:lsdException w:uiPriority="99" w:name="FollowedHyperlink" w:locked="1"/>
    <w:lsdException w:qFormat="1" w:unhideWhenUsed="0" w:uiPriority="22" w:semiHidden="0" w:name="Strong" w:locked="1"/>
    <w:lsdException w:qFormat="1" w:unhideWhenUsed="0" w:uiPriority="20" w:semiHidden="0" w:name="Emphasis" w:locked="1"/>
    <w:lsdException w:uiPriority="99" w:name="Document Map" w:locked="1"/>
    <w:lsdException w:uiPriority="99" w:name="Plain Text" w:locked="1"/>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name="Balloon Text"/>
    <w:lsdException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33"/>
    <w:qFormat/>
    <w:uiPriority w:val="99"/>
    <w:pPr>
      <w:keepNext/>
      <w:keepLines/>
      <w:spacing w:before="340" w:after="330" w:line="578" w:lineRule="auto"/>
      <w:outlineLvl w:val="0"/>
    </w:pPr>
    <w:rPr>
      <w:b/>
      <w:bCs/>
      <w:kern w:val="44"/>
      <w:sz w:val="44"/>
      <w:szCs w:val="44"/>
    </w:rPr>
  </w:style>
  <w:style w:type="paragraph" w:styleId="3">
    <w:name w:val="heading 2"/>
    <w:basedOn w:val="1"/>
    <w:next w:val="1"/>
    <w:link w:val="34"/>
    <w:qFormat/>
    <w:uiPriority w:val="99"/>
    <w:pPr>
      <w:keepNext/>
      <w:keepLines/>
      <w:spacing w:before="260" w:after="260" w:line="416" w:lineRule="auto"/>
      <w:outlineLvl w:val="1"/>
    </w:pPr>
    <w:rPr>
      <w:rFonts w:ascii="Cambria" w:hAnsi="Cambria"/>
      <w:b/>
      <w:bCs/>
      <w:kern w:val="0"/>
      <w:sz w:val="32"/>
      <w:szCs w:val="32"/>
    </w:rPr>
  </w:style>
  <w:style w:type="paragraph" w:styleId="4">
    <w:name w:val="heading 3"/>
    <w:basedOn w:val="1"/>
    <w:next w:val="1"/>
    <w:link w:val="35"/>
    <w:qFormat/>
    <w:uiPriority w:val="99"/>
    <w:pPr>
      <w:keepNext/>
      <w:keepLines/>
      <w:spacing w:before="260" w:after="260" w:line="416" w:lineRule="auto"/>
      <w:outlineLvl w:val="2"/>
    </w:pPr>
    <w:rPr>
      <w:rFonts w:cs="黑体" w:asciiTheme="majorEastAsia" w:hAnsiTheme="majorEastAsia" w:eastAsiaTheme="majorEastAsia"/>
      <w:b/>
      <w:bCs/>
      <w:kern w:val="0"/>
      <w:sz w:val="28"/>
      <w:szCs w:val="28"/>
    </w:rPr>
  </w:style>
  <w:style w:type="paragraph" w:styleId="5">
    <w:name w:val="heading 4"/>
    <w:basedOn w:val="1"/>
    <w:next w:val="1"/>
    <w:link w:val="49"/>
    <w:unhideWhenUsed/>
    <w:qFormat/>
    <w:locked/>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7">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6">
    <w:name w:val="annotation text"/>
    <w:basedOn w:val="1"/>
    <w:link w:val="36"/>
    <w:semiHidden/>
    <w:qFormat/>
    <w:uiPriority w:val="99"/>
    <w:pPr>
      <w:jc w:val="left"/>
    </w:pPr>
    <w:rPr>
      <w:kern w:val="0"/>
      <w:sz w:val="20"/>
      <w:szCs w:val="21"/>
    </w:rPr>
  </w:style>
  <w:style w:type="paragraph" w:styleId="7">
    <w:name w:val="Body Text"/>
    <w:basedOn w:val="1"/>
    <w:next w:val="8"/>
    <w:link w:val="48"/>
    <w:qFormat/>
    <w:locked/>
    <w:uiPriority w:val="1"/>
    <w:pPr>
      <w:autoSpaceDE w:val="0"/>
      <w:autoSpaceDN w:val="0"/>
      <w:jc w:val="left"/>
    </w:pPr>
    <w:rPr>
      <w:rFonts w:ascii="宋体" w:hAnsi="宋体" w:cs="宋体"/>
      <w:kern w:val="0"/>
      <w:szCs w:val="21"/>
    </w:rPr>
  </w:style>
  <w:style w:type="paragraph" w:styleId="8">
    <w:name w:val="Title"/>
    <w:basedOn w:val="1"/>
    <w:next w:val="1"/>
    <w:qFormat/>
    <w:locked/>
    <w:uiPriority w:val="0"/>
    <w:pPr>
      <w:spacing w:before="240" w:after="60"/>
      <w:jc w:val="center"/>
      <w:outlineLvl w:val="0"/>
    </w:pPr>
    <w:rPr>
      <w:rFonts w:ascii="Arial" w:hAnsi="Arial" w:cs="Arial"/>
      <w:b/>
      <w:bCs/>
      <w:sz w:val="32"/>
      <w:szCs w:val="32"/>
    </w:rPr>
  </w:style>
  <w:style w:type="paragraph" w:styleId="9">
    <w:name w:val="Date"/>
    <w:basedOn w:val="1"/>
    <w:next w:val="1"/>
    <w:link w:val="37"/>
    <w:semiHidden/>
    <w:qFormat/>
    <w:uiPriority w:val="99"/>
    <w:pPr>
      <w:ind w:left="100" w:leftChars="2500"/>
    </w:pPr>
  </w:style>
  <w:style w:type="paragraph" w:styleId="10">
    <w:name w:val="Balloon Text"/>
    <w:basedOn w:val="1"/>
    <w:link w:val="38"/>
    <w:semiHidden/>
    <w:qFormat/>
    <w:uiPriority w:val="99"/>
    <w:rPr>
      <w:kern w:val="0"/>
      <w:sz w:val="18"/>
      <w:szCs w:val="18"/>
    </w:rPr>
  </w:style>
  <w:style w:type="paragraph" w:styleId="11">
    <w:name w:val="footer"/>
    <w:basedOn w:val="1"/>
    <w:link w:val="39"/>
    <w:qFormat/>
    <w:uiPriority w:val="99"/>
    <w:pPr>
      <w:tabs>
        <w:tab w:val="center" w:pos="4153"/>
        <w:tab w:val="right" w:pos="8306"/>
      </w:tabs>
      <w:snapToGrid w:val="0"/>
      <w:jc w:val="left"/>
    </w:pPr>
    <w:rPr>
      <w:kern w:val="0"/>
      <w:sz w:val="18"/>
      <w:szCs w:val="18"/>
    </w:rPr>
  </w:style>
  <w:style w:type="paragraph" w:styleId="12">
    <w:name w:val="header"/>
    <w:basedOn w:val="1"/>
    <w:link w:val="40"/>
    <w:qFormat/>
    <w:uiPriority w:val="99"/>
    <w:pPr>
      <w:pBdr>
        <w:bottom w:val="single" w:color="auto" w:sz="6" w:space="1"/>
      </w:pBdr>
      <w:tabs>
        <w:tab w:val="center" w:pos="4153"/>
        <w:tab w:val="right" w:pos="8306"/>
      </w:tabs>
      <w:snapToGrid w:val="0"/>
      <w:jc w:val="center"/>
    </w:pPr>
    <w:rPr>
      <w:kern w:val="0"/>
      <w:sz w:val="18"/>
      <w:szCs w:val="18"/>
    </w:rPr>
  </w:style>
  <w:style w:type="paragraph" w:styleId="13">
    <w:name w:val="toc 1"/>
    <w:basedOn w:val="1"/>
    <w:next w:val="1"/>
    <w:qFormat/>
    <w:uiPriority w:val="99"/>
    <w:pPr>
      <w:tabs>
        <w:tab w:val="right" w:leader="dot" w:pos="9241"/>
      </w:tabs>
      <w:spacing w:beforeLines="25" w:afterLines="25"/>
      <w:jc w:val="left"/>
    </w:pPr>
    <w:rPr>
      <w:rFonts w:ascii="宋体"/>
      <w:szCs w:val="21"/>
    </w:rPr>
  </w:style>
  <w:style w:type="paragraph" w:styleId="14">
    <w:name w:val="toc 2"/>
    <w:basedOn w:val="1"/>
    <w:next w:val="1"/>
    <w:qFormat/>
    <w:uiPriority w:val="99"/>
    <w:pPr>
      <w:tabs>
        <w:tab w:val="right" w:leader="dot" w:pos="9241"/>
      </w:tabs>
    </w:pPr>
    <w:rPr>
      <w:rFonts w:ascii="宋体"/>
      <w:szCs w:val="21"/>
    </w:rPr>
  </w:style>
  <w:style w:type="paragraph" w:styleId="15">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character" w:styleId="18">
    <w:name w:val="Strong"/>
    <w:basedOn w:val="17"/>
    <w:qFormat/>
    <w:locked/>
    <w:uiPriority w:val="22"/>
    <w:rPr>
      <w:b/>
      <w:bCs/>
    </w:rPr>
  </w:style>
  <w:style w:type="character" w:styleId="19">
    <w:name w:val="Emphasis"/>
    <w:basedOn w:val="17"/>
    <w:qFormat/>
    <w:locked/>
    <w:uiPriority w:val="20"/>
    <w:rPr>
      <w:i/>
    </w:rPr>
  </w:style>
  <w:style w:type="character" w:styleId="20">
    <w:name w:val="Hyperlink"/>
    <w:semiHidden/>
    <w:qFormat/>
    <w:uiPriority w:val="99"/>
    <w:rPr>
      <w:rFonts w:cs="Times New Roman"/>
      <w:color w:val="0000CC"/>
      <w:u w:val="single"/>
    </w:rPr>
  </w:style>
  <w:style w:type="character" w:styleId="21">
    <w:name w:val="annotation reference"/>
    <w:semiHidden/>
    <w:qFormat/>
    <w:uiPriority w:val="99"/>
    <w:rPr>
      <w:rFonts w:cs="Times New Roman"/>
      <w:sz w:val="21"/>
    </w:rPr>
  </w:style>
  <w:style w:type="paragraph" w:customStyle="1" w:styleId="22">
    <w:name w:val="段"/>
    <w:link w:val="41"/>
    <w:qFormat/>
    <w:uiPriority w:val="99"/>
    <w:pPr>
      <w:tabs>
        <w:tab w:val="center" w:pos="4201"/>
        <w:tab w:val="right" w:leader="dot" w:pos="9298"/>
      </w:tabs>
      <w:autoSpaceDE w:val="0"/>
      <w:autoSpaceDN w:val="0"/>
      <w:ind w:firstLine="420" w:firstLineChars="200"/>
      <w:jc w:val="both"/>
    </w:pPr>
    <w:rPr>
      <w:rFonts w:ascii="宋体" w:hAnsi="Times New Roman" w:eastAsia="宋体" w:cs="Times New Roman"/>
      <w:sz w:val="21"/>
      <w:szCs w:val="22"/>
      <w:lang w:val="en-US" w:eastAsia="zh-CN" w:bidi="ar-SA"/>
    </w:rPr>
  </w:style>
  <w:style w:type="paragraph" w:customStyle="1" w:styleId="23">
    <w:name w:val="列出段落1"/>
    <w:basedOn w:val="1"/>
    <w:qFormat/>
    <w:uiPriority w:val="99"/>
    <w:pPr>
      <w:ind w:firstLine="420" w:firstLineChars="200"/>
    </w:pPr>
  </w:style>
  <w:style w:type="paragraph" w:customStyle="1" w:styleId="24">
    <w:name w:val="目次、标准名称标题"/>
    <w:basedOn w:val="1"/>
    <w:next w:val="22"/>
    <w:qFormat/>
    <w:uiPriority w:val="99"/>
    <w:pPr>
      <w:keepNext/>
      <w:pageBreakBefore/>
      <w:widowControl/>
      <w:shd w:val="clear" w:color="FFFFFF" w:fill="FFFFFF"/>
      <w:spacing w:before="640" w:after="560" w:line="460" w:lineRule="exact"/>
      <w:jc w:val="center"/>
      <w:outlineLvl w:val="0"/>
    </w:pPr>
    <w:rPr>
      <w:rFonts w:ascii="黑体" w:eastAsia="黑体"/>
      <w:kern w:val="0"/>
      <w:sz w:val="32"/>
      <w:szCs w:val="20"/>
    </w:rPr>
  </w:style>
  <w:style w:type="paragraph" w:customStyle="1" w:styleId="25">
    <w:name w:val="标准书脚_奇数页"/>
    <w:qFormat/>
    <w:uiPriority w:val="99"/>
    <w:pPr>
      <w:spacing w:before="120"/>
      <w:ind w:right="198"/>
      <w:jc w:val="right"/>
    </w:pPr>
    <w:rPr>
      <w:rFonts w:ascii="宋体" w:hAnsi="Times New Roman" w:eastAsia="宋体" w:cs="Times New Roman"/>
      <w:sz w:val="18"/>
      <w:szCs w:val="18"/>
      <w:lang w:val="en-US" w:eastAsia="zh-CN" w:bidi="ar-SA"/>
    </w:rPr>
  </w:style>
  <w:style w:type="paragraph" w:customStyle="1" w:styleId="26">
    <w:name w:val="标准文件_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27">
    <w:name w:val="标准文件_页脚奇数页"/>
    <w:qFormat/>
    <w:uiPriority w:val="0"/>
    <w:pPr>
      <w:ind w:right="227"/>
      <w:jc w:val="right"/>
    </w:pPr>
    <w:rPr>
      <w:rFonts w:ascii="宋体" w:hAnsi="Times New Roman" w:eastAsia="宋体" w:cs="Times New Roman"/>
      <w:sz w:val="18"/>
      <w:lang w:val="en-US" w:eastAsia="zh-CN" w:bidi="ar-SA"/>
    </w:rPr>
  </w:style>
  <w:style w:type="paragraph" w:customStyle="1" w:styleId="28">
    <w:name w:val="标准文件_页眉奇数页"/>
    <w:next w:val="1"/>
    <w:qFormat/>
    <w:uiPriority w:val="0"/>
    <w:pPr>
      <w:tabs>
        <w:tab w:val="center" w:pos="4154"/>
        <w:tab w:val="right" w:pos="8306"/>
      </w:tabs>
      <w:spacing w:after="120"/>
      <w:jc w:val="right"/>
    </w:pPr>
    <w:rPr>
      <w:rFonts w:ascii="黑体" w:hAnsi="宋体" w:eastAsia="黑体" w:cs="Times New Roman"/>
      <w:sz w:val="21"/>
      <w:lang w:val="en-US" w:eastAsia="zh-CN" w:bidi="ar-SA"/>
    </w:rPr>
  </w:style>
  <w:style w:type="paragraph" w:customStyle="1" w:styleId="29">
    <w:name w:val="标准文件_字母编号列项（一级）"/>
    <w:qFormat/>
    <w:uiPriority w:val="0"/>
    <w:pPr>
      <w:numPr>
        <w:ilvl w:val="0"/>
        <w:numId w:val="1"/>
      </w:numPr>
      <w:jc w:val="both"/>
    </w:pPr>
    <w:rPr>
      <w:rFonts w:ascii="宋体" w:hAnsi="Times New Roman" w:eastAsia="宋体" w:cs="Times New Roman"/>
      <w:sz w:val="21"/>
      <w:lang w:val="en-US" w:eastAsia="zh-CN" w:bidi="ar-SA"/>
    </w:rPr>
  </w:style>
  <w:style w:type="paragraph" w:customStyle="1" w:styleId="30">
    <w:name w:val="标准文件_数字编号列项（二级）"/>
    <w:qFormat/>
    <w:uiPriority w:val="0"/>
    <w:pPr>
      <w:numPr>
        <w:ilvl w:val="1"/>
        <w:numId w:val="1"/>
      </w:numPr>
      <w:tabs>
        <w:tab w:val="left" w:pos="851"/>
      </w:tabs>
      <w:jc w:val="both"/>
    </w:pPr>
    <w:rPr>
      <w:rFonts w:ascii="宋体" w:hAnsi="Times New Roman" w:eastAsia="宋体" w:cs="Times New Roman"/>
      <w:sz w:val="21"/>
      <w:lang w:val="en-US" w:eastAsia="zh-CN" w:bidi="ar-SA"/>
    </w:rPr>
  </w:style>
  <w:style w:type="paragraph" w:customStyle="1" w:styleId="31">
    <w:name w:val="标准文件_二级条标题"/>
    <w:next w:val="26"/>
    <w:qFormat/>
    <w:uiPriority w:val="0"/>
    <w:pPr>
      <w:widowControl w:val="0"/>
      <w:numPr>
        <w:ilvl w:val="3"/>
        <w:numId w:val="2"/>
      </w:numPr>
      <w:spacing w:beforeLines="50" w:afterLines="50"/>
      <w:jc w:val="both"/>
      <w:outlineLvl w:val="2"/>
    </w:pPr>
    <w:rPr>
      <w:rFonts w:ascii="黑体" w:hAnsi="Times New Roman" w:eastAsia="黑体" w:cs="Times New Roman"/>
      <w:sz w:val="21"/>
      <w:lang w:val="en-US" w:eastAsia="zh-CN" w:bidi="ar-SA"/>
    </w:rPr>
  </w:style>
  <w:style w:type="paragraph" w:customStyle="1" w:styleId="32">
    <w:name w:val="标准文件_三级条标题"/>
    <w:next w:val="26"/>
    <w:qFormat/>
    <w:uiPriority w:val="0"/>
    <w:pPr>
      <w:outlineLvl w:val="3"/>
    </w:pPr>
    <w:rPr>
      <w:rFonts w:ascii="Times New Roman" w:hAnsi="Times New Roman" w:eastAsia="宋体" w:cs="Times New Roman"/>
      <w:lang w:val="en-US" w:eastAsia="zh-CN" w:bidi="ar-SA"/>
    </w:rPr>
  </w:style>
  <w:style w:type="character" w:customStyle="1" w:styleId="33">
    <w:name w:val="标题 1 字符"/>
    <w:link w:val="2"/>
    <w:qFormat/>
    <w:locked/>
    <w:uiPriority w:val="99"/>
    <w:rPr>
      <w:rFonts w:cs="Times New Roman"/>
      <w:b/>
      <w:kern w:val="44"/>
      <w:sz w:val="44"/>
    </w:rPr>
  </w:style>
  <w:style w:type="character" w:customStyle="1" w:styleId="34">
    <w:name w:val="标题 2 字符"/>
    <w:link w:val="3"/>
    <w:qFormat/>
    <w:locked/>
    <w:uiPriority w:val="99"/>
    <w:rPr>
      <w:rFonts w:ascii="Cambria" w:hAnsi="Cambria" w:eastAsia="宋体" w:cs="Times New Roman"/>
      <w:b/>
      <w:sz w:val="32"/>
    </w:rPr>
  </w:style>
  <w:style w:type="character" w:customStyle="1" w:styleId="35">
    <w:name w:val="标题 3 字符"/>
    <w:link w:val="4"/>
    <w:qFormat/>
    <w:locked/>
    <w:uiPriority w:val="99"/>
    <w:rPr>
      <w:rFonts w:cs="黑体" w:asciiTheme="majorEastAsia" w:hAnsiTheme="majorEastAsia" w:eastAsiaTheme="majorEastAsia"/>
      <w:b/>
      <w:bCs/>
      <w:sz w:val="28"/>
      <w:szCs w:val="28"/>
    </w:rPr>
  </w:style>
  <w:style w:type="character" w:customStyle="1" w:styleId="36">
    <w:name w:val="批注文字 字符"/>
    <w:link w:val="6"/>
    <w:semiHidden/>
    <w:qFormat/>
    <w:locked/>
    <w:uiPriority w:val="99"/>
    <w:rPr>
      <w:rFonts w:ascii="Calibri" w:hAnsi="Calibri" w:eastAsia="宋体" w:cs="Times New Roman"/>
      <w:sz w:val="21"/>
    </w:rPr>
  </w:style>
  <w:style w:type="character" w:customStyle="1" w:styleId="37">
    <w:name w:val="日期 字符"/>
    <w:link w:val="9"/>
    <w:semiHidden/>
    <w:qFormat/>
    <w:locked/>
    <w:uiPriority w:val="99"/>
    <w:rPr>
      <w:rFonts w:cs="Times New Roman"/>
      <w:kern w:val="2"/>
      <w:sz w:val="22"/>
      <w:szCs w:val="22"/>
    </w:rPr>
  </w:style>
  <w:style w:type="character" w:customStyle="1" w:styleId="38">
    <w:name w:val="批注框文本 字符"/>
    <w:link w:val="10"/>
    <w:semiHidden/>
    <w:qFormat/>
    <w:locked/>
    <w:uiPriority w:val="99"/>
    <w:rPr>
      <w:rFonts w:cs="Times New Roman"/>
      <w:sz w:val="18"/>
    </w:rPr>
  </w:style>
  <w:style w:type="character" w:customStyle="1" w:styleId="39">
    <w:name w:val="页脚 字符"/>
    <w:link w:val="11"/>
    <w:qFormat/>
    <w:locked/>
    <w:uiPriority w:val="99"/>
    <w:rPr>
      <w:rFonts w:cs="Times New Roman"/>
      <w:sz w:val="18"/>
    </w:rPr>
  </w:style>
  <w:style w:type="character" w:customStyle="1" w:styleId="40">
    <w:name w:val="页眉 字符"/>
    <w:link w:val="12"/>
    <w:qFormat/>
    <w:locked/>
    <w:uiPriority w:val="99"/>
    <w:rPr>
      <w:rFonts w:cs="Times New Roman"/>
      <w:sz w:val="18"/>
    </w:rPr>
  </w:style>
  <w:style w:type="character" w:customStyle="1" w:styleId="41">
    <w:name w:val="段 Char"/>
    <w:link w:val="22"/>
    <w:qFormat/>
    <w:locked/>
    <w:uiPriority w:val="99"/>
    <w:rPr>
      <w:rFonts w:ascii="宋体" w:hAnsi="Times New Roman"/>
      <w:sz w:val="22"/>
    </w:rPr>
  </w:style>
  <w:style w:type="character" w:customStyle="1" w:styleId="42">
    <w:name w:val="占位符文本1"/>
    <w:semiHidden/>
    <w:qFormat/>
    <w:uiPriority w:val="99"/>
    <w:rPr>
      <w:rFonts w:cs="Times New Roman"/>
      <w:color w:val="808080"/>
    </w:rPr>
  </w:style>
  <w:style w:type="character" w:customStyle="1" w:styleId="43">
    <w:name w:val="fontstyle01"/>
    <w:qFormat/>
    <w:uiPriority w:val="0"/>
    <w:rPr>
      <w:rFonts w:ascii="宋体" w:hAnsi="宋体" w:eastAsia="宋体" w:cs="宋体"/>
      <w:color w:val="000000"/>
      <w:sz w:val="22"/>
      <w:szCs w:val="22"/>
    </w:rPr>
  </w:style>
  <w:style w:type="paragraph" w:customStyle="1" w:styleId="44">
    <w:name w:val="一级条标题"/>
    <w:next w:val="22"/>
    <w:qFormat/>
    <w:uiPriority w:val="0"/>
    <w:pPr>
      <w:numPr>
        <w:ilvl w:val="1"/>
        <w:numId w:val="3"/>
      </w:numPr>
      <w:spacing w:before="156" w:beforeLines="50" w:after="156" w:afterLines="50"/>
      <w:ind w:left="0"/>
      <w:outlineLvl w:val="2"/>
    </w:pPr>
    <w:rPr>
      <w:rFonts w:ascii="黑体" w:hAnsi="Times New Roman" w:eastAsia="黑体" w:cs="Times New Roman"/>
      <w:sz w:val="21"/>
      <w:szCs w:val="21"/>
      <w:lang w:val="en-US" w:eastAsia="zh-CN" w:bidi="ar-SA"/>
    </w:rPr>
  </w:style>
  <w:style w:type="paragraph" w:customStyle="1" w:styleId="45">
    <w:name w:val="二级条标题"/>
    <w:basedOn w:val="44"/>
    <w:next w:val="22"/>
    <w:qFormat/>
    <w:uiPriority w:val="0"/>
    <w:pPr>
      <w:numPr>
        <w:ilvl w:val="2"/>
      </w:numPr>
      <w:spacing w:before="50" w:after="50"/>
      <w:outlineLvl w:val="3"/>
    </w:pPr>
  </w:style>
  <w:style w:type="paragraph" w:customStyle="1" w:styleId="46">
    <w:name w:val="标准文件_章标题"/>
    <w:next w:val="26"/>
    <w:qFormat/>
    <w:uiPriority w:val="0"/>
    <w:pPr>
      <w:numPr>
        <w:ilvl w:val="1"/>
        <w:numId w:val="2"/>
      </w:numPr>
      <w:spacing w:before="100" w:beforeLines="100" w:after="100" w:afterLines="100"/>
      <w:jc w:val="both"/>
      <w:outlineLvl w:val="0"/>
    </w:pPr>
    <w:rPr>
      <w:rFonts w:ascii="黑体" w:hAnsi="Times New Roman" w:eastAsia="黑体" w:cs="Times New Roman"/>
      <w:sz w:val="21"/>
      <w:lang w:val="en-US" w:eastAsia="zh-CN" w:bidi="ar-SA"/>
    </w:rPr>
  </w:style>
  <w:style w:type="paragraph" w:customStyle="1" w:styleId="47">
    <w:name w:val="标准文件_一级条标题"/>
    <w:basedOn w:val="46"/>
    <w:next w:val="26"/>
    <w:qFormat/>
    <w:uiPriority w:val="0"/>
    <w:pPr>
      <w:numPr>
        <w:ilvl w:val="2"/>
      </w:numPr>
      <w:spacing w:before="50" w:beforeLines="50" w:after="50" w:afterLines="50"/>
      <w:outlineLvl w:val="1"/>
    </w:pPr>
  </w:style>
  <w:style w:type="character" w:customStyle="1" w:styleId="48">
    <w:name w:val="正文文本 字符"/>
    <w:basedOn w:val="17"/>
    <w:link w:val="7"/>
    <w:qFormat/>
    <w:uiPriority w:val="1"/>
    <w:rPr>
      <w:rFonts w:ascii="宋体" w:hAnsi="宋体" w:cs="宋体"/>
      <w:sz w:val="21"/>
      <w:szCs w:val="21"/>
    </w:rPr>
  </w:style>
  <w:style w:type="character" w:customStyle="1" w:styleId="49">
    <w:name w:val="标题 4 字符"/>
    <w:basedOn w:val="17"/>
    <w:link w:val="5"/>
    <w:qFormat/>
    <w:uiPriority w:val="9"/>
    <w:rPr>
      <w:rFonts w:asciiTheme="majorHAnsi" w:hAnsiTheme="majorHAnsi" w:eastAsiaTheme="majorEastAsia" w:cstheme="majorBidi"/>
      <w:b/>
      <w:bCs/>
      <w:kern w:val="2"/>
      <w:sz w:val="28"/>
      <w:szCs w:val="28"/>
    </w:rPr>
  </w:style>
  <w:style w:type="character" w:customStyle="1" w:styleId="50">
    <w:name w:val="apple-converted-space"/>
    <w:basedOn w:val="17"/>
    <w:qFormat/>
    <w:uiPriority w:val="0"/>
  </w:style>
  <w:style w:type="paragraph" w:customStyle="1" w:styleId="51">
    <w:name w:val="封面标准名称"/>
    <w:qFormat/>
    <w:uiPriority w:val="0"/>
    <w:pPr>
      <w:framePr w:w="9639" w:h="6917" w:hRule="exact" w:wrap="around" w:vAnchor="page" w:hAnchor="page" w:xAlign="center" w:y="6408"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styleId="52">
    <w:name w:val="List Paragraph"/>
    <w:basedOn w:val="1"/>
    <w:qFormat/>
    <w:uiPriority w:val="34"/>
    <w:pPr>
      <w:ind w:firstLine="420" w:firstLineChars="200"/>
    </w:pPr>
    <w:rPr>
      <w:rFonts w:ascii="Calibri" w:hAnsi="Calibri" w:eastAsia="宋体" w:cs="Times New Roma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8</Pages>
  <Words>4765</Words>
  <Characters>4899</Characters>
  <Lines>732</Lines>
  <Paragraphs>524</Paragraphs>
  <TotalTime>1</TotalTime>
  <ScaleCrop>false</ScaleCrop>
  <LinksUpToDate>false</LinksUpToDate>
  <CharactersWithSpaces>4963</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2025-08-20T09:08:00Z</dcterms:created>
  <dc:creator>liu</dc:creator>
  <cp:lastModifiedBy>金鑫</cp:lastModifiedBy>
  <cp:lastPrinted>2020-06-02T08:06:00Z</cp:lastPrinted>
  <dcterms:modified xsi:type="dcterms:W3CDTF">2025-09-22T07:08:25Z</dcterms:modified>
  <dc:title>中国仪器仪表行业协会团体标准</dc:title>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C8DB318EAB4841DB820B0EB86879FBB6_13</vt:lpwstr>
  </property>
  <property fmtid="{D5CDD505-2E9C-101B-9397-08002B2CF9AE}" pid="4" name="KSOTemplateDocerSaveRecord">
    <vt:lpwstr>eyJoZGlkIjoiOTJkNzE3MzJmZGU1YTg4ZmE0NjBlZTViNWY5ZmUyZjQiLCJ1c2VySWQiOiIxNDQ1MTQ3Nzk3In0=</vt:lpwstr>
  </property>
</Properties>
</file>