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准《基于电力流的碳排放计量 第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3</w:t>
      </w:r>
      <w:r>
        <w:rPr>
          <w:rFonts w:hint="eastAsia" w:ascii="华文仿宋" w:hAnsi="华文仿宋" w:eastAsia="华文仿宋"/>
          <w:sz w:val="28"/>
          <w:szCs w:val="28"/>
        </w:rPr>
        <w:t>部分 计量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系统</w:t>
      </w:r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0079.3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2121EF2"/>
    <w:rsid w:val="0310058E"/>
    <w:rsid w:val="05F15E3E"/>
    <w:rsid w:val="091A4F45"/>
    <w:rsid w:val="09987B2A"/>
    <w:rsid w:val="0D600768"/>
    <w:rsid w:val="0E1D03B8"/>
    <w:rsid w:val="0E4634C5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132</Words>
  <Characters>143</Characters>
  <Lines>1</Lines>
  <Paragraphs>1</Paragraphs>
  <TotalTime>0</TotalTime>
  <ScaleCrop>false</ScaleCrop>
  <LinksUpToDate>false</LinksUpToDate>
  <CharactersWithSpaces>230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2025-04-09T06:32:36Z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