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FA967">
      <w:pPr>
        <w:pStyle w:val="64"/>
        <w:framePr w:w="6093" w:h="942" w:hRule="exact" w:wrap="around" w:vAnchor="page" w:hAnchor="page" w:x="4669" w:y="1300"/>
        <w:rPr>
          <w:sz w:val="72"/>
          <w:szCs w:val="72"/>
        </w:rPr>
      </w:pPr>
      <w:bookmarkStart w:id="0" w:name="_Toc183873867"/>
      <w:r>
        <w:rPr>
          <w:w w:val="170"/>
          <w:sz w:val="72"/>
          <w:szCs w:val="72"/>
        </w:rPr>
        <w:t>CIMA</w:t>
      </w:r>
    </w:p>
    <w:p w14:paraId="2FDE4EAE">
      <w:pPr>
        <w:pStyle w:val="55"/>
        <w:framePr w:wrap="around"/>
        <w:tabs>
          <w:tab w:val="right" w:pos="9746"/>
        </w:tabs>
        <w:rPr>
          <w:rFonts w:ascii="Times New Roman"/>
        </w:rPr>
      </w:pPr>
      <w:r>
        <w:rPr>
          <w:rFonts w:ascii="Times New Roman"/>
        </w:rPr>
        <w:t>ICS </w:t>
      </w:r>
      <w:bookmarkStart w:id="1" w:name="ICS"/>
      <w:r>
        <w:rPr>
          <w:rFonts w:ascii="Times New Roman"/>
        </w:rPr>
        <w:fldChar w:fldCharType="begin">
          <w:ffData>
            <w:name w:val="ICS"/>
            <w:enabled/>
            <w:calcOnExit w:val="0"/>
            <w:helpText w:type="text" w:val="请输入正确的ICS号："/>
            <w:textInput>
              <w:default w:val="点击此处添加ICS号"/>
            </w:textInput>
          </w:ffData>
        </w:fldChar>
      </w:r>
      <w:r>
        <w:rPr>
          <w:rFonts w:ascii="Times New Roman"/>
        </w:rPr>
        <w:instrText xml:space="preserve"> FORMTEXT </w:instrText>
      </w:r>
      <w:r>
        <w:rPr>
          <w:rFonts w:ascii="Times New Roman"/>
        </w:rPr>
        <w:fldChar w:fldCharType="separate"/>
      </w:r>
      <w:r>
        <w:rPr>
          <w:rFonts w:ascii="Times New Roman"/>
        </w:rPr>
        <w:t>17.220.20</w:t>
      </w:r>
      <w:r>
        <w:rPr>
          <w:rFonts w:ascii="Times New Roman"/>
        </w:rPr>
        <w:fldChar w:fldCharType="end"/>
      </w:r>
      <w:bookmarkEnd w:id="1"/>
    </w:p>
    <w:p w14:paraId="2EE7CBAD">
      <w:pPr>
        <w:pStyle w:val="55"/>
        <w:framePr w:wrap="around"/>
        <w:tabs>
          <w:tab w:val="left" w:pos="7881"/>
        </w:tabs>
        <w:rPr>
          <w:rFonts w:ascii="Times New Roman"/>
        </w:rPr>
      </w:pPr>
      <w:r>
        <w:rPr>
          <w:rFonts w:ascii="Times New Roman"/>
        </w:rPr>
        <w:t xml:space="preserve">CCS N 20 </w:t>
      </w:r>
    </w:p>
    <w:p w14:paraId="628C9C20">
      <w:pPr>
        <w:framePr w:w="6093" w:h="1389" w:hRule="exact" w:hSpace="181" w:vSpace="181" w:wrap="around" w:vAnchor="page" w:hAnchor="page" w:x="5205" w:y="916" w:anchorLock="1"/>
        <w:widowControl/>
        <w:shd w:val="solid" w:color="FFFFFF" w:fill="FFFFFF"/>
        <w:spacing w:line="0" w:lineRule="atLeast"/>
        <w:jc w:val="center"/>
        <w:rPr>
          <w:rFonts w:hint="eastAsia" w:eastAsia="宋体"/>
          <w:b/>
          <w:color w:val="auto"/>
          <w:w w:val="170"/>
          <w:kern w:val="0"/>
          <w:sz w:val="80"/>
          <w:szCs w:val="80"/>
          <w:highlight w:val="none"/>
          <w:lang w:val="en-US" w:eastAsia="zh-CN"/>
        </w:rPr>
      </w:pPr>
      <w:r>
        <w:rPr>
          <w:rFonts w:hint="eastAsia"/>
          <w:b/>
          <w:color w:val="auto"/>
          <w:w w:val="170"/>
          <w:kern w:val="0"/>
          <w:sz w:val="80"/>
          <w:szCs w:val="80"/>
          <w:highlight w:val="none"/>
          <w:lang w:val="en-US" w:eastAsia="zh-CN"/>
        </w:rPr>
        <w:t xml:space="preserve">       T</w:t>
      </w:r>
    </w:p>
    <w:p w14:paraId="5EAB8EA2">
      <w:pPr>
        <w:spacing w:line="360" w:lineRule="auto"/>
        <w:jc w:val="distribute"/>
        <w:rPr>
          <w:rFonts w:eastAsia="黑体"/>
          <w:b/>
          <w:spacing w:val="-40"/>
          <w:sz w:val="48"/>
          <w:szCs w:val="52"/>
        </w:rPr>
      </w:pPr>
    </w:p>
    <w:p w14:paraId="30B222E1">
      <w:pPr>
        <w:spacing w:line="360" w:lineRule="auto"/>
        <w:jc w:val="distribute"/>
        <w:rPr>
          <w:rFonts w:eastAsia="黑体"/>
          <w:b/>
          <w:spacing w:val="-40"/>
          <w:sz w:val="48"/>
          <w:szCs w:val="52"/>
        </w:rPr>
      </w:pPr>
      <w:r>
        <w:rPr>
          <w:rFonts w:eastAsia="黑体"/>
          <w:b/>
          <w:spacing w:val="-40"/>
          <w:sz w:val="48"/>
          <w:szCs w:val="52"/>
        </w:rPr>
        <w:t>团体标准</w:t>
      </w:r>
    </w:p>
    <w:bookmarkEnd w:id="0"/>
    <w:p w14:paraId="2F878B20">
      <w:pPr>
        <w:spacing w:line="320" w:lineRule="exact"/>
        <w:jc w:val="center"/>
        <w:rPr>
          <w:rFonts w:eastAsia="黑体"/>
          <w:bCs/>
          <w:sz w:val="32"/>
        </w:rPr>
      </w:pPr>
    </w:p>
    <w:p w14:paraId="531CA4CE">
      <w:pPr>
        <w:spacing w:line="320" w:lineRule="exact"/>
        <w:jc w:val="center"/>
        <w:rPr>
          <w:rFonts w:eastAsia="黑体"/>
          <w:bCs/>
          <w:sz w:val="32"/>
        </w:rPr>
      </w:pPr>
    </w:p>
    <w:p w14:paraId="766492B6">
      <w:pPr>
        <w:spacing w:line="320" w:lineRule="exact"/>
        <w:jc w:val="center"/>
        <w:rPr>
          <w:rFonts w:eastAsia="黑体"/>
          <w:bCs/>
          <w:sz w:val="32"/>
        </w:rPr>
      </w:pPr>
      <w:r>
        <w:pict>
          <v:line id="_x0000_s1026" o:spid="_x0000_s1026" o:spt="20" style="position:absolute;left:0pt;margin-left:13.25pt;margin-top:-25.25pt;height:0pt;width:481.9pt;z-index:251660288;mso-width-relative:page;mso-height-relative:page;" coordsize="21600,21600" o:gfxdata="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S3ITTWAAAACgEA&#10;AA8AAAAAAAAAAQAgAAAAIgAAAGRycy9kb3ducmV2LnhtbFBLAQIUABQAAAAIAIdO4kADNQzm4wEA&#10;AKoDAAAOAAAAAAAAAAEAIAAAACUBAABkcnMvZTJvRG9jLnhtbFBLBQYAAAAABgAGAFkBAAB6BQAA&#10;AAA=&#10;">
            <v:path arrowok="t"/>
            <v:fill focussize="0,0"/>
            <v:stroke/>
            <v:imagedata o:title=""/>
            <o:lock v:ext="edit"/>
          </v:line>
        </w:pict>
      </w:r>
    </w:p>
    <w:p w14:paraId="74C97920">
      <w:pPr>
        <w:pStyle w:val="74"/>
        <w:framePr w:h="610" w:hRule="exact" w:wrap="around" w:vAnchor="page" w:hAnchor="page" w:x="1826" w:y="2235"/>
      </w:pPr>
      <w:bookmarkStart w:id="2" w:name="StdNo0"/>
      <w:bookmarkStart w:id="3" w:name="StdNo1"/>
      <w:r>
        <w:t>T/</w:t>
      </w:r>
      <w:bookmarkEnd w:id="2"/>
      <w:bookmarkEnd w:id="3"/>
      <w:r>
        <w:t>CIMA 0079.2—XXXX</w:t>
      </w:r>
    </w:p>
    <w:p w14:paraId="5C8E5BE0">
      <w:pPr>
        <w:pStyle w:val="65"/>
        <w:framePr w:wrap="around" w:x="1292" w:y="6154"/>
        <w:rPr>
          <w:rFonts w:ascii="Times New Roman"/>
        </w:rPr>
      </w:pPr>
      <w:r>
        <w:rPr>
          <w:rFonts w:ascii="Times New Roman"/>
        </w:rPr>
        <w:t>基于电力流的碳排放计量 第2部分：</w:t>
      </w:r>
    </w:p>
    <w:p w14:paraId="3E74EBDD">
      <w:pPr>
        <w:pStyle w:val="65"/>
        <w:framePr w:wrap="around" w:x="1292" w:y="6154"/>
        <w:rPr>
          <w:rFonts w:ascii="Times New Roman"/>
        </w:rPr>
      </w:pPr>
      <w:r>
        <w:rPr>
          <w:rFonts w:ascii="Times New Roman"/>
        </w:rPr>
        <w:t>计量设备</w:t>
      </w:r>
    </w:p>
    <w:p w14:paraId="5F4F8031">
      <w:pPr>
        <w:pStyle w:val="65"/>
        <w:framePr w:wrap="around" w:x="1292" w:y="6154"/>
        <w:rPr>
          <w:rFonts w:ascii="Times New Roman"/>
          <w:sz w:val="28"/>
          <w:szCs w:val="28"/>
        </w:rPr>
      </w:pPr>
      <w:r>
        <w:rPr>
          <w:rFonts w:ascii="Times New Roman"/>
          <w:sz w:val="28"/>
          <w:szCs w:val="28"/>
        </w:rPr>
        <w:t xml:space="preserve">Measurement of carbon emissions based on </w:t>
      </w:r>
      <w:r>
        <w:rPr>
          <w:rFonts w:hint="eastAsia" w:ascii="Times New Roman"/>
          <w:sz w:val="28"/>
          <w:szCs w:val="28"/>
        </w:rPr>
        <w:t>p</w:t>
      </w:r>
      <w:r>
        <w:rPr>
          <w:rFonts w:ascii="Times New Roman"/>
          <w:sz w:val="28"/>
          <w:szCs w:val="28"/>
        </w:rPr>
        <w:t xml:space="preserve">owerflow - Part 2: </w:t>
      </w:r>
    </w:p>
    <w:p w14:paraId="5F87C4DE">
      <w:pPr>
        <w:pStyle w:val="65"/>
        <w:framePr w:wrap="around" w:x="1292" w:y="6154"/>
        <w:rPr>
          <w:rFonts w:ascii="Times New Roman"/>
          <w:sz w:val="28"/>
          <w:szCs w:val="28"/>
        </w:rPr>
      </w:pPr>
      <w:r>
        <w:rPr>
          <w:rFonts w:ascii="Times New Roman"/>
          <w:sz w:val="28"/>
          <w:szCs w:val="28"/>
        </w:rPr>
        <w:t>Metrology devices</w:t>
      </w: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0"/>
      </w:tblGrid>
      <w:tr w14:paraId="3BC9F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6" w:hRule="atLeast"/>
        </w:trPr>
        <w:tc>
          <w:tcPr>
            <w:tcW w:w="7860" w:type="dxa"/>
            <w:tcBorders>
              <w:top w:val="nil"/>
              <w:left w:val="nil"/>
              <w:bottom w:val="nil"/>
              <w:right w:val="nil"/>
            </w:tcBorders>
            <w:noWrap w:val="0"/>
            <w:vAlign w:val="top"/>
          </w:tcPr>
          <w:p w14:paraId="591DA1B4">
            <w:pPr>
              <w:framePr w:wrap="around" w:vAnchor="margin" w:hAnchor="text" w:x="1292" w:y="6154"/>
              <w:spacing w:before="440" w:after="160"/>
              <w:jc w:val="center"/>
              <w:textAlignment w:val="center"/>
              <w:rPr>
                <w:color w:val="auto"/>
                <w:kern w:val="0"/>
                <w:sz w:val="24"/>
                <w:szCs w:val="28"/>
                <w:highlight w:val="none"/>
              </w:rPr>
            </w:pPr>
          </w:p>
          <w:p w14:paraId="5471B4D3">
            <w:pPr>
              <w:framePr w:wrap="around" w:vAnchor="margin" w:hAnchor="text" w:x="1292" w:y="6154"/>
              <w:spacing w:before="440" w:after="160"/>
              <w:textAlignment w:val="center"/>
              <w:rPr>
                <w:color w:val="auto"/>
                <w:kern w:val="0"/>
                <w:sz w:val="24"/>
                <w:szCs w:val="28"/>
                <w:highlight w:val="none"/>
              </w:rPr>
            </w:pPr>
          </w:p>
          <w:p w14:paraId="5FDAA8A4">
            <w:pPr>
              <w:framePr w:wrap="around" w:vAnchor="margin" w:hAnchor="text" w:x="1292" w:y="6154"/>
              <w:spacing w:before="440" w:after="160"/>
              <w:jc w:val="center"/>
              <w:textAlignment w:val="center"/>
              <w:rPr>
                <w:rFonts w:hint="eastAsia" w:ascii="黑体" w:hAnsi="黑体" w:eastAsia="黑体" w:cs="黑体"/>
                <w:color w:val="auto"/>
                <w:kern w:val="0"/>
                <w:sz w:val="28"/>
                <w:szCs w:val="28"/>
                <w:highlight w:val="none"/>
              </w:rPr>
            </w:pPr>
            <w:r>
              <w:rPr>
                <w:rFonts w:hint="eastAsia" w:ascii="黑体" w:hAnsi="黑体" w:eastAsia="黑体" w:cs="黑体"/>
                <w:color w:val="auto"/>
                <w:kern w:val="0"/>
                <w:sz w:val="28"/>
                <w:szCs w:val="28"/>
                <w:highlight w:val="none"/>
              </w:rPr>
              <w:pict>
                <v:rect id="矩形 7" o:spid="_x0000_s1029" o:spt="1" style="position:absolute;left:0pt;margin-left:269.9pt;margin-top:22.15pt;height:24pt;width:100pt;z-index:-25165209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">
                  <v:path/>
                  <v:fill focussize="0,0"/>
                  <v:stroke on="f"/>
                  <v:imagedata o:title=""/>
                  <o:lock v:ext="edit"/>
                  <v:textbox>
                    <w:txbxContent>
                      <w:p w14:paraId="7A2B8EB0"/>
                    </w:txbxContent>
                  </v:textbox>
                </v:rect>
              </w:pict>
            </w:r>
            <w:r>
              <w:rPr>
                <w:rFonts w:hint="eastAsia" w:ascii="黑体" w:hAnsi="黑体" w:eastAsia="黑体" w:cs="黑体"/>
                <w:color w:val="auto"/>
                <w:kern w:val="0"/>
                <w:sz w:val="28"/>
                <w:szCs w:val="28"/>
                <w:highlight w:val="none"/>
              </w:rPr>
              <w:pict>
                <v:rect id="矩形 8" o:spid="_x0000_s1030" o:spt="1" style="position:absolute;left:0pt;margin-left:102.4pt;margin-top:45.15pt;height:20pt;width:150pt;z-index:-251653120;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">
                  <v:path/>
                  <v:fill focussize="0,0"/>
                  <v:stroke on="f"/>
                  <v:imagedata o:title=""/>
                  <o:lock v:ext="edit"/>
                  <v:textbox>
                    <w:txbxContent>
                      <w:p w14:paraId="26CEA1D0"/>
                    </w:txbxContent>
                  </v:textbox>
                  <w10:anchorlock/>
                </v:rect>
              </w:pict>
            </w:r>
            <w:r>
              <w:rPr>
                <w:rFonts w:hint="eastAsia" w:ascii="黑体" w:hAnsi="黑体" w:eastAsia="黑体" w:cs="黑体"/>
                <w:color w:val="auto"/>
                <w:kern w:val="0"/>
                <w:sz w:val="28"/>
                <w:szCs w:val="28"/>
                <w:highlight w:val="none"/>
              </w:rPr>
              <w:t>（</w:t>
            </w:r>
            <w:r>
              <w:rPr>
                <w:rFonts w:hint="eastAsia" w:ascii="黑体" w:hAnsi="黑体" w:eastAsia="黑体" w:cs="黑体"/>
                <w:color w:val="auto"/>
                <w:kern w:val="0"/>
                <w:sz w:val="28"/>
                <w:szCs w:val="28"/>
                <w:highlight w:val="none"/>
                <w:lang w:val="en-US" w:eastAsia="zh-CN"/>
              </w:rPr>
              <w:t>征求意见稿</w:t>
            </w:r>
            <w:r>
              <w:rPr>
                <w:rFonts w:hint="eastAsia" w:ascii="黑体" w:hAnsi="黑体" w:eastAsia="黑体" w:cs="黑体"/>
                <w:color w:val="auto"/>
                <w:kern w:val="0"/>
                <w:sz w:val="28"/>
                <w:szCs w:val="28"/>
                <w:highlight w:val="none"/>
              </w:rPr>
              <w:t>）</w:t>
            </w:r>
          </w:p>
          <w:p w14:paraId="16A29AB8">
            <w:pPr>
              <w:framePr w:wrap="around" w:vAnchor="margin" w:hAnchor="text" w:x="1292" w:y="6154"/>
              <w:spacing w:before="440" w:after="160"/>
              <w:jc w:val="center"/>
              <w:textAlignment w:val="center"/>
              <w:rPr>
                <w:rFonts w:hint="default" w:ascii="黑体" w:hAnsi="黑体" w:eastAsia="黑体" w:cs="黑体"/>
                <w:color w:val="auto"/>
                <w:kern w:val="0"/>
                <w:sz w:val="28"/>
                <w:szCs w:val="28"/>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在您提交反馈意见时，请将您知道的相关专利连同支持性文件一并附上）</w:t>
            </w:r>
          </w:p>
        </w:tc>
      </w:tr>
      <w:tr w14:paraId="04ECF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5" w:hRule="atLeast"/>
        </w:trPr>
        <w:tc>
          <w:tcPr>
            <w:tcW w:w="7860" w:type="dxa"/>
            <w:tcBorders>
              <w:top w:val="nil"/>
              <w:left w:val="nil"/>
              <w:bottom w:val="nil"/>
              <w:right w:val="nil"/>
            </w:tcBorders>
            <w:noWrap w:val="0"/>
            <w:vAlign w:val="top"/>
          </w:tcPr>
          <w:p w14:paraId="702516DB">
            <w:pPr>
              <w:framePr w:wrap="around" w:vAnchor="margin" w:hAnchor="text" w:x="1292" w:y="6154"/>
              <w:spacing w:before="180" w:after="160" w:line="180" w:lineRule="exact"/>
              <w:jc w:val="center"/>
              <w:textAlignment w:val="center"/>
              <w:rPr>
                <w:rFonts w:hint="default" w:eastAsia="宋体"/>
                <w:color w:val="auto"/>
                <w:kern w:val="0"/>
                <w:sz w:val="28"/>
                <w:szCs w:val="28"/>
                <w:highlight w:val="none"/>
                <w:lang w:val="en-US" w:eastAsia="zh-CN"/>
              </w:rPr>
            </w:pPr>
            <w:r>
              <w:rPr>
                <w:rFonts w:hint="eastAsia"/>
                <w:color w:val="auto"/>
                <w:kern w:val="0"/>
                <w:sz w:val="28"/>
                <w:szCs w:val="28"/>
                <w:highlight w:val="none"/>
              </w:rPr>
              <w:t>20250</w:t>
            </w:r>
            <w:r>
              <w:rPr>
                <w:rFonts w:hint="eastAsia"/>
                <w:color w:val="auto"/>
                <w:kern w:val="0"/>
                <w:sz w:val="28"/>
                <w:szCs w:val="28"/>
                <w:highlight w:val="none"/>
                <w:lang w:val="en-US" w:eastAsia="zh-CN"/>
              </w:rPr>
              <w:t>313</w:t>
            </w:r>
          </w:p>
          <w:p w14:paraId="3333AE1D">
            <w:pPr>
              <w:framePr w:wrap="around" w:vAnchor="margin" w:hAnchor="text" w:x="1292" w:y="6154"/>
              <w:spacing w:before="180" w:after="160" w:line="180" w:lineRule="exact"/>
              <w:jc w:val="center"/>
              <w:textAlignment w:val="center"/>
              <w:rPr>
                <w:rFonts w:hint="eastAsia"/>
                <w:color w:val="auto"/>
                <w:kern w:val="0"/>
                <w:sz w:val="28"/>
                <w:szCs w:val="28"/>
                <w:highlight w:val="none"/>
              </w:rPr>
            </w:pPr>
          </w:p>
          <w:p w14:paraId="68EDAFB6">
            <w:pPr>
              <w:framePr w:wrap="around" w:vAnchor="margin" w:hAnchor="text" w:x="1292" w:y="6154"/>
              <w:spacing w:before="180" w:after="160" w:line="180" w:lineRule="exact"/>
              <w:jc w:val="center"/>
              <w:textAlignment w:val="center"/>
              <w:rPr>
                <w:color w:val="auto"/>
                <w:kern w:val="0"/>
                <w:sz w:val="28"/>
                <w:szCs w:val="28"/>
                <w:highlight w:val="none"/>
              </w:rPr>
            </w:pPr>
          </w:p>
        </w:tc>
      </w:tr>
    </w:tbl>
    <w:p w14:paraId="49E56A83">
      <w:pPr>
        <w:pStyle w:val="65"/>
        <w:framePr w:wrap="around" w:x="1292" w:y="6154"/>
        <w:rPr>
          <w:rFonts w:ascii="Times New Roman"/>
          <w:sz w:val="28"/>
          <w:szCs w:val="28"/>
        </w:rPr>
      </w:pPr>
    </w:p>
    <w:p w14:paraId="0DB146F6">
      <w:pPr>
        <w:pStyle w:val="65"/>
        <w:framePr w:wrap="around" w:x="1292" w:y="6154"/>
        <w:rPr>
          <w:rFonts w:ascii="Times New Roman"/>
          <w:sz w:val="28"/>
          <w:szCs w:val="28"/>
        </w:rPr>
      </w:pPr>
    </w:p>
    <w:p w14:paraId="40275A50">
      <w:pPr>
        <w:spacing w:line="320" w:lineRule="exact"/>
        <w:jc w:val="center"/>
        <w:rPr>
          <w:rFonts w:eastAsia="黑体"/>
          <w:bCs/>
          <w:sz w:val="32"/>
        </w:rPr>
      </w:pPr>
    </w:p>
    <w:p w14:paraId="27BCA389">
      <w:pPr>
        <w:spacing w:line="320" w:lineRule="exact"/>
        <w:jc w:val="center"/>
        <w:rPr>
          <w:rFonts w:eastAsia="黑体"/>
          <w:bCs/>
          <w:sz w:val="32"/>
        </w:rPr>
      </w:pPr>
    </w:p>
    <w:p w14:paraId="7EDA56C6">
      <w:pPr>
        <w:pStyle w:val="57"/>
        <w:framePr w:wrap="around" w:x="1304" w:y="14078"/>
        <w:ind w:firstLine="280" w:firstLineChars="100"/>
      </w:pPr>
      <w:bookmarkStart w:id="4"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4"/>
      <w:r>
        <w:t>-</w:t>
      </w:r>
      <w:bookmarkStart w:id="5"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w:t>
      </w:r>
      <w:bookmarkStart w:id="6"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6"/>
      <w:r>
        <w:t>发布</w:t>
      </w:r>
      <w:r>
        <w:pict>
          <v:line id="_x0000_s1028" o:spid="_x0000_s1028" o:spt="20" style="position:absolute;left:0pt;margin-left:-3.6pt;margin-top:727.2pt;height:0pt;width:481.9pt;mso-position-vertical-relative:page;z-index:251661312;mso-width-relative:page;mso-height-relative:page;"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B095NgAAAAM&#10;AQAADwAAAAAAAAABACAAAAAiAAAAZHJzL2Rvd25yZXYueG1sUEsBAhQAFAAAAAgAh07iQNe+D0Lj&#10;AQAAqgMAAA4AAAAAAAAAAQAgAAAAJwEAAGRycy9lMm9Eb2MueG1sUEsFBgAAAAAGAAYAWQEAAHwF&#10;AAAAAA==&#10;">
            <v:path arrowok="t"/>
            <v:fill focussize="0,0"/>
            <v:stroke/>
            <v:imagedata o:title=""/>
            <o:lock v:ext="edit"/>
            <w10:anchorlock/>
          </v:line>
        </w:pict>
      </w:r>
    </w:p>
    <w:p w14:paraId="71AA43B3">
      <w:pPr>
        <w:pStyle w:val="76"/>
        <w:framePr w:w="8517" w:wrap="around" w:vAnchor="page" w:hAnchor="page" w:x="1686" w:y="15471"/>
        <w:ind w:firstLine="1050"/>
        <w:rPr>
          <w:rFonts w:ascii="Times New Roman"/>
          <w:sz w:val="28"/>
          <w:szCs w:val="28"/>
        </w:rPr>
      </w:pPr>
      <w:r>
        <w:rPr>
          <w:rFonts w:ascii="Times New Roman"/>
          <w:sz w:val="28"/>
          <w:szCs w:val="28"/>
        </w:rPr>
        <w:t>中国仪器仪表行业协会   </w:t>
      </w:r>
      <w:r>
        <w:rPr>
          <w:rStyle w:val="50"/>
          <w:rFonts w:ascii="Times New Roman"/>
          <w:szCs w:val="28"/>
        </w:rPr>
        <w:t>发布</w:t>
      </w:r>
    </w:p>
    <w:p w14:paraId="147DEA91">
      <w:pPr>
        <w:pStyle w:val="66"/>
        <w:framePr w:wrap="around" w:vAnchor="page" w:hAnchor="page" w:x="7807" w:y="14035"/>
        <w:ind w:right="560" w:firstLine="840" w:firstLineChars="300"/>
        <w:jc w:val="both"/>
      </w:pPr>
      <w:bookmarkStart w:id="7"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7"/>
      <w:r>
        <w:t>-</w:t>
      </w:r>
      <w:bookmarkStart w:id="8"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8"/>
      <w:r>
        <w:t>-</w:t>
      </w:r>
      <w:bookmarkStart w:id="9"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  </w:t>
      </w:r>
      <w:r>
        <w:fldChar w:fldCharType="end"/>
      </w:r>
      <w:bookmarkEnd w:id="9"/>
      <w:r>
        <w:t>实施</w:t>
      </w:r>
    </w:p>
    <w:p w14:paraId="7A987AB9">
      <w:pPr>
        <w:spacing w:line="320" w:lineRule="exact"/>
        <w:jc w:val="center"/>
        <w:rPr>
          <w:rFonts w:eastAsia="黑体"/>
          <w:bCs/>
          <w:sz w:val="32"/>
        </w:rPr>
        <w:sectPr>
          <w:footerReference r:id="rId3" w:type="default"/>
          <w:type w:val="continuous"/>
          <w:pgSz w:w="11906" w:h="16838"/>
          <w:pgMar w:top="1440" w:right="1080" w:bottom="1440" w:left="1080" w:header="851" w:footer="992" w:gutter="0"/>
          <w:pgNumType w:start="0"/>
          <w:cols w:space="720" w:num="1"/>
          <w:docGrid w:type="lines" w:linePitch="312" w:charSpace="0"/>
        </w:sectPr>
      </w:pPr>
    </w:p>
    <w:p w14:paraId="538B6B5F">
      <w:pPr>
        <w:pStyle w:val="2"/>
        <w:numPr>
          <w:ilvl w:val="0"/>
          <w:numId w:val="0"/>
        </w:numPr>
        <w:spacing w:before="156" w:after="156"/>
        <w:rPr>
          <w:rFonts w:ascii="Times New Roman" w:hAnsi="Times New Roman"/>
        </w:rPr>
      </w:pPr>
    </w:p>
    <w:p w14:paraId="203E4F66"/>
    <w:p w14:paraId="10621DD8">
      <w:pPr>
        <w:spacing w:line="320" w:lineRule="exact"/>
        <w:jc w:val="center"/>
        <w:rPr>
          <w:rFonts w:hint="eastAsia" w:eastAsia="黑体"/>
          <w:bCs/>
          <w:sz w:val="32"/>
        </w:rPr>
      </w:pPr>
      <w:r>
        <w:rPr>
          <w:rFonts w:eastAsia="黑体"/>
          <w:bCs/>
          <w:sz w:val="32"/>
        </w:rPr>
        <w:t>目  次</w:t>
      </w:r>
    </w:p>
    <w:p w14:paraId="04F57003">
      <w:pPr>
        <w:pStyle w:val="15"/>
        <w:rPr>
          <w:rFonts w:hint="eastAsia"/>
        </w:rPr>
      </w:pPr>
    </w:p>
    <w:p w14:paraId="1C272444">
      <w:pPr>
        <w:pStyle w:val="26"/>
        <w:tabs>
          <w:tab w:val="clear" w:pos="540"/>
        </w:tabs>
        <w:spacing w:before="62" w:after="6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TOC \o "1-2" \h \z \u </w:instrText>
      </w:r>
      <w:r>
        <w:rPr>
          <w:rFonts w:hint="eastAsia" w:ascii="宋体" w:hAnsi="宋体" w:eastAsia="宋体" w:cs="宋体"/>
          <w:highlight w:val="none"/>
        </w:rPr>
        <w:fldChar w:fldCharType="separate"/>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"_Toc3580" </w:instrText>
      </w:r>
      <w:r>
        <w:rPr>
          <w:rFonts w:hint="eastAsia" w:ascii="宋体" w:hAnsi="宋体" w:eastAsia="宋体" w:cs="宋体"/>
          <w:highlight w:val="none"/>
        </w:rPr>
        <w:fldChar w:fldCharType="separate"/>
      </w:r>
      <w:r>
        <w:rPr>
          <w:rFonts w:hint="eastAsia" w:ascii="宋体" w:hAnsi="宋体" w:eastAsia="宋体" w:cs="宋体"/>
          <w:highlight w:val="none"/>
        </w:rPr>
        <w:t>前言</w:t>
      </w:r>
      <w:r>
        <w:rPr>
          <w:rFonts w:hint="eastAsia" w:ascii="宋体" w:hAnsi="宋体" w:eastAsia="宋体" w:cs="宋体"/>
          <w:highlight w:val="none"/>
        </w:rPr>
        <w:tab/>
      </w:r>
      <w:r>
        <w:rPr>
          <w:rFonts w:hint="eastAsia" w:ascii="宋体" w:hAnsi="宋体" w:eastAsia="宋体" w:cs="宋体"/>
          <w:highlight w:val="none"/>
        </w:rPr>
        <w:t>I</w:t>
      </w:r>
      <w:r>
        <w:rPr>
          <w:rFonts w:hint="eastAsia" w:ascii="宋体" w:hAnsi="宋体" w:eastAsia="宋体" w:cs="宋体"/>
          <w:highlight w:val="none"/>
        </w:rPr>
        <w:fldChar w:fldCharType="end"/>
      </w:r>
    </w:p>
    <w:p w14:paraId="379C9727">
      <w:pPr>
        <w:pStyle w:val="26"/>
        <w:tabs>
          <w:tab w:val="clear" w:pos="540"/>
        </w:tabs>
        <w:spacing w:before="62" w:after="6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"_Toc31734" </w:instrText>
      </w:r>
      <w:r>
        <w:rPr>
          <w:rFonts w:hint="eastAsia" w:ascii="宋体" w:hAnsi="宋体" w:eastAsia="宋体" w:cs="宋体"/>
          <w:highlight w:val="none"/>
        </w:rPr>
        <w:fldChar w:fldCharType="separate"/>
      </w:r>
      <w:r>
        <w:rPr>
          <w:rFonts w:hint="eastAsia" w:ascii="宋体" w:hAnsi="宋体" w:eastAsia="宋体" w:cs="宋体"/>
          <w:highlight w:val="none"/>
        </w:rPr>
        <w:t>引言</w:t>
      </w:r>
      <w:r>
        <w:rPr>
          <w:rFonts w:hint="eastAsia" w:ascii="宋体" w:hAnsi="宋体" w:eastAsia="宋体" w:cs="宋体"/>
          <w:highlight w:val="none"/>
        </w:rPr>
        <w:tab/>
      </w:r>
      <w:r>
        <w:rPr>
          <w:rFonts w:hint="eastAsia" w:ascii="宋体" w:hAnsi="宋体" w:eastAsia="宋体" w:cs="宋体"/>
          <w:highlight w:val="none"/>
        </w:rPr>
        <w:t xml:space="preserve">............................II </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59E54BA">
      <w:pPr>
        <w:pStyle w:val="26"/>
        <w:tabs>
          <w:tab w:val="clear" w:pos="540"/>
        </w:tabs>
        <w:spacing w:before="62" w:after="62"/>
        <w:rPr>
          <w:rFonts w:hint="eastAsia" w:ascii="宋体" w:hAnsi="宋体" w:eastAsia="宋体" w:cs="宋体"/>
        </w:rPr>
      </w:pPr>
      <w:bookmarkStart w:id="10" w:name="OLE_LINK1"/>
      <w:bookmarkStart w:id="11" w:name="OLE_LINK2"/>
      <w:r>
        <w:rPr>
          <w:rFonts w:hint="eastAsia" w:ascii="宋体" w:hAnsi="宋体" w:eastAsia="宋体" w:cs="宋体"/>
          <w:highlight w:val="yellow"/>
        </w:rPr>
        <w:fldChar w:fldCharType="begin"/>
      </w:r>
      <w:r>
        <w:rPr>
          <w:rFonts w:hint="eastAsia" w:ascii="宋体" w:hAnsi="宋体" w:eastAsia="宋体" w:cs="宋体"/>
          <w:highlight w:val="yellow"/>
        </w:rPr>
        <w:instrText xml:space="preserve"> TOC \o "1-2" \h \z \u </w:instrText>
      </w:r>
      <w:r>
        <w:rPr>
          <w:rFonts w:hint="eastAsia" w:ascii="宋体" w:hAnsi="宋体" w:eastAsia="宋体" w:cs="宋体"/>
          <w:highlight w:val="yellow"/>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"_Toc3580" </w:instrText>
      </w:r>
      <w:r>
        <w:rPr>
          <w:rFonts w:hint="eastAsia" w:ascii="宋体" w:hAnsi="宋体" w:eastAsia="宋体" w:cs="宋体"/>
        </w:rPr>
        <w:fldChar w:fldCharType="separate"/>
      </w:r>
      <w:r>
        <w:rPr>
          <w:rFonts w:hint="eastAsia" w:ascii="宋体" w:hAnsi="宋体" w:eastAsia="宋体" w:cs="宋体"/>
        </w:rPr>
        <w:t>1 范围</w:t>
      </w:r>
      <w:r>
        <w:rPr>
          <w:rFonts w:hint="eastAsia" w:ascii="宋体" w:hAnsi="宋体" w:eastAsia="宋体" w:cs="宋体"/>
        </w:rPr>
        <w:tab/>
      </w:r>
      <w:r>
        <w:rPr>
          <w:rFonts w:hint="eastAsia" w:ascii="宋体" w:hAnsi="宋体" w:eastAsia="宋体" w:cs="宋体"/>
          <w:lang w:val="en-US" w:eastAsia="zh-CN"/>
        </w:rPr>
        <w:t>1</w:t>
      </w:r>
      <w:r>
        <w:rPr>
          <w:rFonts w:hint="eastAsia" w:ascii="宋体" w:hAnsi="宋体" w:eastAsia="宋体" w:cs="宋体"/>
        </w:rPr>
        <w:fldChar w:fldCharType="end"/>
      </w:r>
    </w:p>
    <w:p w14:paraId="53FFCCE8">
      <w:pPr>
        <w:pStyle w:val="26"/>
        <w:tabs>
          <w:tab w:val="clear" w:pos="540"/>
        </w:tabs>
        <w:spacing w:before="62" w:after="6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"_Toc31734" </w:instrText>
      </w:r>
      <w:r>
        <w:rPr>
          <w:rFonts w:hint="eastAsia" w:ascii="宋体" w:hAnsi="宋体" w:eastAsia="宋体" w:cs="宋体"/>
        </w:rPr>
        <w:fldChar w:fldCharType="separate"/>
      </w:r>
      <w:r>
        <w:rPr>
          <w:rFonts w:hint="eastAsia" w:ascii="宋体" w:hAnsi="宋体" w:eastAsia="宋体" w:cs="宋体"/>
        </w:rPr>
        <w:t>2 规范性引用文件</w:t>
      </w:r>
      <w:r>
        <w:rPr>
          <w:rFonts w:hint="eastAsia" w:ascii="宋体" w:hAnsi="宋体" w:eastAsia="宋体" w:cs="宋体"/>
        </w:rPr>
        <w:tab/>
      </w:r>
      <w:r>
        <w:rPr>
          <w:rFonts w:hint="eastAsia" w:ascii="宋体" w:hAnsi="宋体" w:eastAsia="宋体" w:cs="宋体"/>
          <w:lang w:val="en-US" w:eastAsia="zh-CN"/>
        </w:rPr>
        <w:t>1</w:t>
      </w:r>
      <w:r>
        <w:rPr>
          <w:rFonts w:hint="eastAsia" w:ascii="宋体" w:hAnsi="宋体" w:eastAsia="宋体" w:cs="宋体"/>
        </w:rPr>
        <w:fldChar w:fldCharType="end"/>
      </w:r>
    </w:p>
    <w:p w14:paraId="32915475">
      <w:pPr>
        <w:pStyle w:val="26"/>
        <w:tabs>
          <w:tab w:val="clear" w:pos="540"/>
        </w:tabs>
        <w:spacing w:before="62" w:after="6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"_Toc26181" </w:instrText>
      </w:r>
      <w:r>
        <w:rPr>
          <w:rFonts w:hint="eastAsia" w:ascii="宋体" w:hAnsi="宋体" w:eastAsia="宋体" w:cs="宋体"/>
        </w:rPr>
        <w:fldChar w:fldCharType="separate"/>
      </w:r>
      <w:r>
        <w:rPr>
          <w:rFonts w:hint="eastAsia" w:ascii="宋体" w:hAnsi="宋体" w:eastAsia="宋体" w:cs="宋体"/>
        </w:rPr>
        <w:t>3 术语和定义</w:t>
      </w:r>
      <w:r>
        <w:rPr>
          <w:rFonts w:hint="eastAsia" w:ascii="宋体" w:hAnsi="宋体" w:eastAsia="宋体" w:cs="宋体"/>
        </w:rPr>
        <w:tab/>
      </w:r>
      <w:r>
        <w:rPr>
          <w:rFonts w:hint="eastAsia" w:ascii="宋体" w:hAnsi="宋体" w:eastAsia="宋体" w:cs="宋体"/>
          <w:lang w:val="en-US" w:eastAsia="zh-CN"/>
        </w:rPr>
        <w:t>1</w:t>
      </w:r>
      <w:r>
        <w:rPr>
          <w:rFonts w:hint="eastAsia" w:ascii="宋体" w:hAnsi="宋体" w:eastAsia="宋体" w:cs="宋体"/>
        </w:rPr>
        <w:fldChar w:fldCharType="end"/>
      </w:r>
    </w:p>
    <w:p w14:paraId="5F66C553">
      <w:pPr>
        <w:pStyle w:val="26"/>
        <w:tabs>
          <w:tab w:val="clear" w:pos="540"/>
        </w:tabs>
        <w:spacing w:before="62" w:after="6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"_Toc1490" </w:instrText>
      </w:r>
      <w:r>
        <w:rPr>
          <w:rFonts w:hint="eastAsia" w:ascii="宋体" w:hAnsi="宋体" w:eastAsia="宋体" w:cs="宋体"/>
        </w:rPr>
        <w:fldChar w:fldCharType="separate"/>
      </w:r>
      <w:r>
        <w:rPr>
          <w:rFonts w:hint="eastAsia" w:ascii="宋体" w:hAnsi="宋体" w:eastAsia="宋体" w:cs="宋体"/>
        </w:rPr>
        <w:t>4 基于电力流的碳排放计量体系</w:t>
      </w:r>
      <w:r>
        <w:rPr>
          <w:rFonts w:hint="eastAsia" w:ascii="宋体" w:hAnsi="宋体" w:eastAsia="宋体" w:cs="宋体"/>
        </w:rPr>
        <w:tab/>
      </w:r>
      <w:r>
        <w:rPr>
          <w:rFonts w:hint="eastAsia" w:ascii="宋体" w:hAnsi="宋体" w:eastAsia="宋体" w:cs="宋体"/>
          <w:lang w:val="en-US" w:eastAsia="zh-CN"/>
        </w:rPr>
        <w:t>1</w:t>
      </w:r>
      <w:r>
        <w:rPr>
          <w:rFonts w:hint="eastAsia" w:ascii="宋体" w:hAnsi="宋体" w:eastAsia="宋体" w:cs="宋体"/>
        </w:rPr>
        <w:fldChar w:fldCharType="end"/>
      </w:r>
    </w:p>
    <w:p w14:paraId="15FD11F5">
      <w:pPr>
        <w:pStyle w:val="26"/>
        <w:tabs>
          <w:tab w:val="clear" w:pos="540"/>
        </w:tabs>
        <w:spacing w:before="62" w:after="6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"_Toc17836" </w:instrText>
      </w:r>
      <w:r>
        <w:rPr>
          <w:rFonts w:hint="eastAsia" w:ascii="宋体" w:hAnsi="宋体" w:eastAsia="宋体" w:cs="宋体"/>
        </w:rPr>
        <w:fldChar w:fldCharType="separate"/>
      </w:r>
      <w:r>
        <w:rPr>
          <w:rFonts w:hint="eastAsia" w:ascii="宋体" w:hAnsi="宋体" w:eastAsia="宋体" w:cs="宋体"/>
        </w:rPr>
        <w:t>5 技术要求</w:t>
      </w:r>
      <w:r>
        <w:rPr>
          <w:rFonts w:hint="eastAsia" w:ascii="宋体" w:hAnsi="宋体" w:eastAsia="宋体" w:cs="宋体"/>
        </w:rPr>
        <w:tab/>
      </w:r>
      <w:r>
        <w:rPr>
          <w:rFonts w:hint="eastAsia" w:ascii="宋体" w:hAnsi="宋体" w:eastAsia="宋体" w:cs="宋体"/>
          <w:lang w:val="en-US" w:eastAsia="zh-CN"/>
        </w:rPr>
        <w:t>2</w:t>
      </w:r>
      <w:r>
        <w:rPr>
          <w:rFonts w:hint="eastAsia" w:ascii="宋体" w:hAnsi="宋体" w:eastAsia="宋体" w:cs="宋体"/>
        </w:rPr>
        <w:fldChar w:fldCharType="end"/>
      </w:r>
    </w:p>
    <w:p w14:paraId="6AFA2F47">
      <w:pPr>
        <w:pStyle w:val="26"/>
        <w:tabs>
          <w:tab w:val="clear" w:pos="540"/>
        </w:tabs>
        <w:spacing w:before="62" w:after="6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"_Toc21958" </w:instrText>
      </w:r>
      <w:r>
        <w:rPr>
          <w:rFonts w:hint="eastAsia" w:ascii="宋体" w:hAnsi="宋体" w:eastAsia="宋体" w:cs="宋体"/>
        </w:rPr>
        <w:fldChar w:fldCharType="separate"/>
      </w:r>
      <w:r>
        <w:rPr>
          <w:rFonts w:hint="eastAsia" w:ascii="宋体" w:hAnsi="宋体" w:eastAsia="宋体" w:cs="宋体"/>
        </w:rPr>
        <w:t>6 试验方法</w:t>
      </w:r>
      <w:r>
        <w:rPr>
          <w:rFonts w:hint="eastAsia" w:ascii="宋体" w:hAnsi="宋体" w:eastAsia="宋体" w:cs="宋体"/>
        </w:rPr>
        <w:tab/>
      </w:r>
      <w:r>
        <w:rPr>
          <w:rFonts w:hint="eastAsia" w:ascii="宋体" w:hAnsi="宋体" w:eastAsia="宋体" w:cs="宋体"/>
          <w:lang w:val="en-US" w:eastAsia="zh-CN"/>
        </w:rPr>
        <w:t>3</w:t>
      </w:r>
      <w:r>
        <w:rPr>
          <w:rFonts w:hint="eastAsia" w:ascii="宋体" w:hAnsi="宋体" w:eastAsia="宋体" w:cs="宋体"/>
        </w:rPr>
        <w:fldChar w:fldCharType="end"/>
      </w:r>
    </w:p>
    <w:p w14:paraId="6AF0E0DF">
      <w:pPr>
        <w:pStyle w:val="26"/>
        <w:tabs>
          <w:tab w:val="clear" w:pos="540"/>
        </w:tabs>
        <w:spacing w:before="62" w:after="6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"_Toc14240" </w:instrText>
      </w:r>
      <w:r>
        <w:rPr>
          <w:rFonts w:hint="eastAsia" w:ascii="宋体" w:hAnsi="宋体" w:eastAsia="宋体" w:cs="宋体"/>
        </w:rPr>
        <w:fldChar w:fldCharType="separate"/>
      </w:r>
      <w:r>
        <w:rPr>
          <w:rFonts w:hint="eastAsia" w:ascii="宋体" w:hAnsi="宋体" w:eastAsia="宋体" w:cs="宋体"/>
        </w:rPr>
        <w:t>7 检验规则</w:t>
      </w:r>
      <w:r>
        <w:rPr>
          <w:rFonts w:hint="eastAsia" w:ascii="宋体" w:hAnsi="宋体" w:eastAsia="宋体" w:cs="宋体"/>
        </w:rPr>
        <w:tab/>
      </w:r>
      <w:r>
        <w:rPr>
          <w:rFonts w:hint="eastAsia" w:ascii="宋体" w:hAnsi="宋体" w:eastAsia="宋体" w:cs="宋体"/>
          <w:lang w:val="en-US" w:eastAsia="zh-CN"/>
        </w:rPr>
        <w:t>4</w:t>
      </w:r>
      <w:r>
        <w:rPr>
          <w:rFonts w:hint="eastAsia" w:ascii="宋体" w:hAnsi="宋体" w:eastAsia="宋体" w:cs="宋体"/>
        </w:rPr>
        <w:fldChar w:fldCharType="end"/>
      </w:r>
    </w:p>
    <w:p w14:paraId="11957F88">
      <w:pPr>
        <w:pStyle w:val="26"/>
        <w:tabs>
          <w:tab w:val="clear" w:pos="540"/>
        </w:tabs>
        <w:spacing w:before="62" w:after="6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"_Toc4792" </w:instrText>
      </w:r>
      <w:r>
        <w:rPr>
          <w:rFonts w:hint="eastAsia" w:ascii="宋体" w:hAnsi="宋体" w:eastAsia="宋体" w:cs="宋体"/>
        </w:rPr>
        <w:fldChar w:fldCharType="separate"/>
      </w:r>
      <w:r>
        <w:rPr>
          <w:rFonts w:hint="eastAsia" w:ascii="宋体" w:hAnsi="宋体" w:eastAsia="宋体" w:cs="宋体"/>
        </w:rPr>
        <w:t>8 包装与贮存</w:t>
      </w:r>
      <w:r>
        <w:rPr>
          <w:rFonts w:hint="eastAsia" w:ascii="宋体" w:hAnsi="宋体" w:eastAsia="宋体" w:cs="宋体"/>
        </w:rPr>
        <w:tab/>
      </w:r>
      <w:r>
        <w:rPr>
          <w:rFonts w:hint="eastAsia" w:ascii="宋体" w:hAnsi="宋体" w:eastAsia="宋体" w:cs="宋体"/>
          <w:lang w:val="en-US" w:eastAsia="zh-CN"/>
        </w:rPr>
        <w:t>4</w:t>
      </w:r>
      <w:r>
        <w:rPr>
          <w:rFonts w:hint="eastAsia" w:ascii="宋体" w:hAnsi="宋体" w:eastAsia="宋体" w:cs="宋体"/>
        </w:rPr>
        <w:fldChar w:fldCharType="end"/>
      </w:r>
    </w:p>
    <w:p w14:paraId="41E69212">
      <w:pPr>
        <w:pStyle w:val="26"/>
        <w:tabs>
          <w:tab w:val="clear" w:pos="540"/>
        </w:tabs>
        <w:spacing w:before="62" w:after="62"/>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"_Toc13515" </w:instrText>
      </w:r>
      <w:r>
        <w:rPr>
          <w:rFonts w:hint="eastAsia" w:ascii="宋体" w:hAnsi="宋体" w:eastAsia="宋体" w:cs="宋体"/>
        </w:rPr>
        <w:fldChar w:fldCharType="separate"/>
      </w:r>
      <w:r>
        <w:rPr>
          <w:rFonts w:hint="eastAsia" w:ascii="宋体" w:hAnsi="宋体" w:eastAsia="宋体" w:cs="宋体"/>
        </w:rPr>
        <w:t xml:space="preserve">附　录　A </w:t>
      </w:r>
      <w:r>
        <w:rPr>
          <w:rFonts w:hint="eastAsia" w:ascii="宋体" w:hAnsi="宋体" w:eastAsia="宋体" w:cs="宋体"/>
        </w:rPr>
        <w:tab/>
      </w:r>
      <w:r>
        <w:rPr>
          <w:rFonts w:hint="eastAsia" w:ascii="宋体" w:hAnsi="宋体" w:eastAsia="宋体" w:cs="宋体"/>
          <w:lang w:val="en-US" w:eastAsia="zh-CN"/>
        </w:rPr>
        <w:t>5</w:t>
      </w:r>
      <w:r>
        <w:rPr>
          <w:rFonts w:hint="eastAsia" w:ascii="宋体" w:hAnsi="宋体" w:eastAsia="宋体" w:cs="宋体"/>
        </w:rPr>
        <w:fldChar w:fldCharType="end"/>
      </w:r>
    </w:p>
    <w:p w14:paraId="54FB82EF">
      <w:pPr>
        <w:jc w:val="center"/>
        <w:rPr>
          <w:szCs w:val="21"/>
        </w:rPr>
        <w:sectPr>
          <w:footerReference r:id="rId4" w:type="default"/>
          <w:pgSz w:w="11906" w:h="16838"/>
          <w:pgMar w:top="1440" w:right="1797" w:bottom="1440" w:left="1797" w:header="851" w:footer="992" w:gutter="0"/>
          <w:pgNumType w:start="1"/>
          <w:cols w:space="720" w:num="1"/>
          <w:docGrid w:type="lines" w:linePitch="312" w:charSpace="0"/>
        </w:sectPr>
      </w:pPr>
      <w:r>
        <w:rPr>
          <w:rFonts w:hint="eastAsia" w:ascii="宋体" w:hAnsi="宋体" w:eastAsia="宋体" w:cs="宋体"/>
          <w:szCs w:val="21"/>
          <w:highlight w:val="yellow"/>
        </w:rPr>
        <w:fldChar w:fldCharType="end"/>
      </w:r>
      <w:bookmarkEnd w:id="10"/>
      <w:bookmarkEnd w:id="11"/>
      <w:bookmarkStart w:id="12" w:name="_Toc507426771"/>
      <w:bookmarkStart w:id="13" w:name="_Toc508898003"/>
      <w:bookmarkStart w:id="14" w:name="_Toc507426549"/>
      <w:bookmarkStart w:id="191" w:name="_GoBack"/>
      <w:bookmarkEnd w:id="191"/>
    </w:p>
    <w:bookmarkEnd w:id="12"/>
    <w:bookmarkEnd w:id="13"/>
    <w:bookmarkEnd w:id="14"/>
    <w:p w14:paraId="470F8C21">
      <w:pPr>
        <w:jc w:val="center"/>
        <w:rPr>
          <w:rFonts w:eastAsia="黑体"/>
          <w:sz w:val="32"/>
          <w:szCs w:val="32"/>
        </w:rPr>
      </w:pPr>
      <w:bookmarkStart w:id="15" w:name="_Hlk60065210"/>
      <w:r>
        <w:rPr>
          <w:rFonts w:eastAsia="黑体"/>
          <w:sz w:val="32"/>
          <w:szCs w:val="32"/>
        </w:rPr>
        <w:t>前  言</w:t>
      </w:r>
    </w:p>
    <w:p w14:paraId="4288284E">
      <w:pPr>
        <w:pStyle w:val="49"/>
        <w:tabs>
          <w:tab w:val="center" w:pos="4201"/>
          <w:tab w:val="right" w:leader="dot" w:pos="9298"/>
        </w:tabs>
        <w:ind w:firstLine="420"/>
        <w:rPr>
          <w:rFonts w:ascii="Times New Roman"/>
          <w:lang w:val="zh-CN"/>
        </w:rPr>
      </w:pPr>
    </w:p>
    <w:p w14:paraId="5F0C7B6E">
      <w:pPr>
        <w:pStyle w:val="98"/>
        <w:ind w:firstLine="420"/>
        <w:rPr>
          <w:rFonts w:ascii="Times New Roman"/>
        </w:rPr>
      </w:pPr>
      <w:r>
        <w:rPr>
          <w:rFonts w:ascii="Times New Roman"/>
        </w:rPr>
        <w:t>本文件按照GB/T 1.1—2020《标准化工作导则 第1部分：标准化文件的结构和起草规则》的规定起草。</w:t>
      </w:r>
    </w:p>
    <w:p w14:paraId="20E0CBD2">
      <w:pPr>
        <w:pStyle w:val="98"/>
        <w:ind w:firstLine="420"/>
        <w:rPr>
          <w:rFonts w:ascii="Times New Roman"/>
        </w:rPr>
      </w:pPr>
      <w:r>
        <w:rPr>
          <w:rFonts w:ascii="Times New Roman"/>
        </w:rPr>
        <w:t>本文件是T/CIMA 0079 《基于电力流的碳排放计量》的第</w:t>
      </w:r>
      <w:r>
        <w:rPr>
          <w:rFonts w:hint="eastAsia" w:ascii="Times New Roman"/>
        </w:rPr>
        <w:t>2</w:t>
      </w:r>
      <w:r>
        <w:rPr>
          <w:rFonts w:ascii="Times New Roman"/>
        </w:rPr>
        <w:t>部分，T/CIMA 0079已经发布了以下部分：</w:t>
      </w:r>
    </w:p>
    <w:p w14:paraId="5D980317">
      <w:pPr>
        <w:pStyle w:val="98"/>
        <w:ind w:firstLine="420"/>
        <w:rPr>
          <w:rFonts w:ascii="Times New Roman"/>
        </w:rPr>
      </w:pPr>
      <w:r>
        <w:rPr>
          <w:rFonts w:ascii="Times New Roman"/>
        </w:rPr>
        <w:t>——第1部分：计量模型。</w:t>
      </w:r>
    </w:p>
    <w:p w14:paraId="489B26D2">
      <w:pPr>
        <w:pStyle w:val="98"/>
        <w:ind w:firstLine="420"/>
        <w:rPr>
          <w:rFonts w:ascii="Times New Roman"/>
        </w:rPr>
      </w:pPr>
      <w:r>
        <w:rPr>
          <w:rFonts w:ascii="Times New Roman"/>
        </w:rPr>
        <w:t>请注意本文件的某些内容可能涉及专利。本文件的发布机构不承担识别专利的责任。</w:t>
      </w:r>
    </w:p>
    <w:p w14:paraId="5B5A8B0A">
      <w:pPr>
        <w:pStyle w:val="98"/>
        <w:ind w:firstLine="420"/>
        <w:rPr>
          <w:rFonts w:ascii="Times New Roman"/>
        </w:rPr>
      </w:pPr>
      <w:r>
        <w:rPr>
          <w:rFonts w:ascii="Times New Roman"/>
        </w:rPr>
        <w:t>本文件由中国仪器仪表行业协会电工仪器仪表分会提出。</w:t>
      </w:r>
    </w:p>
    <w:p w14:paraId="014AC91D">
      <w:pPr>
        <w:pStyle w:val="98"/>
        <w:ind w:firstLine="420"/>
        <w:rPr>
          <w:rFonts w:ascii="Times New Roman"/>
        </w:rPr>
      </w:pPr>
      <w:r>
        <w:rPr>
          <w:rFonts w:ascii="Times New Roman"/>
        </w:rPr>
        <w:t>本文件由</w:t>
      </w:r>
      <w:r>
        <w:rPr>
          <w:rFonts w:ascii="Times New Roman"/>
          <w:szCs w:val="22"/>
        </w:rPr>
        <w:t>中国仪器仪表行业协会</w:t>
      </w:r>
      <w:r>
        <w:rPr>
          <w:rFonts w:ascii="Times New Roman"/>
        </w:rPr>
        <w:t>归口。</w:t>
      </w:r>
    </w:p>
    <w:p w14:paraId="016C9BDF">
      <w:pPr>
        <w:pStyle w:val="98"/>
        <w:ind w:firstLine="420"/>
        <w:rPr>
          <w:rFonts w:hint="eastAsia" w:ascii="Times New Roman" w:eastAsia="宋体"/>
          <w:lang w:val="en-US" w:eastAsia="zh-CN"/>
        </w:rPr>
      </w:pPr>
      <w:r>
        <w:rPr>
          <w:rFonts w:ascii="Times New Roman"/>
        </w:rPr>
        <w:t>本文件起草单位：</w:t>
      </w:r>
      <w:r>
        <w:rPr>
          <w:rFonts w:hint="eastAsia" w:ascii="Times New Roman"/>
        </w:rPr>
        <w:t>广东电网有限责任公司计量中心</w:t>
      </w:r>
      <w:r>
        <w:rPr>
          <w:rFonts w:hint="eastAsia" w:ascii="Times New Roman"/>
          <w:lang w:eastAsia="zh-CN"/>
        </w:rPr>
        <w:t>、</w:t>
      </w:r>
      <w:r>
        <w:rPr>
          <w:rFonts w:hint="eastAsia" w:ascii="Times New Roman"/>
        </w:rPr>
        <w:t>哈尔滨电工仪表研究所有限公司、</w:t>
      </w:r>
      <w:r>
        <w:rPr>
          <w:rFonts w:hint="eastAsia" w:ascii="Times New Roman"/>
          <w:lang w:val="en-US" w:eastAsia="zh-CN"/>
        </w:rPr>
        <w:t>威胜集团有限公司、河南许继仪表有限公司</w:t>
      </w:r>
      <w:r>
        <w:rPr>
          <w:rFonts w:hint="eastAsia" w:ascii="Times New Roman"/>
        </w:rPr>
        <w:t>等</w:t>
      </w:r>
      <w:r>
        <w:rPr>
          <w:rFonts w:hint="eastAsia" w:ascii="Times New Roman"/>
          <w:lang w:eastAsia="zh-CN"/>
        </w:rPr>
        <w:t>。</w:t>
      </w:r>
    </w:p>
    <w:p w14:paraId="03F03A2B">
      <w:pPr>
        <w:pStyle w:val="98"/>
        <w:ind w:firstLine="420"/>
        <w:rPr>
          <w:rFonts w:ascii="Times New Roman" w:hAnsi="Times New Roman" w:eastAsia="宋体" w:cs="Times New Roman"/>
          <w:sz w:val="21"/>
          <w:lang w:val="en-US" w:eastAsia="zh-CN" w:bidi="ar-SA"/>
        </w:rPr>
        <w:sectPr>
          <w:footerReference r:id="rId5" w:type="default"/>
          <w:pgSz w:w="11906" w:h="16838"/>
          <w:pgMar w:top="1440" w:right="1797" w:bottom="1440" w:left="1797" w:header="851" w:footer="992" w:gutter="0"/>
          <w:pgNumType w:fmt="decimal"/>
          <w:cols w:space="720" w:num="1"/>
          <w:docGrid w:type="lines" w:linePitch="312" w:charSpace="0"/>
        </w:sectPr>
      </w:pPr>
      <w:r>
        <w:rPr>
          <w:rFonts w:ascii="Times New Roman"/>
        </w:rPr>
        <w:t>本文件主要起草人：</w:t>
      </w:r>
      <w:r>
        <w:rPr>
          <w:rFonts w:hint="eastAsia" w:ascii="Times New Roman" w:hAnsi="Times New Roman" w:eastAsia="宋体" w:cs="Times New Roman"/>
          <w:sz w:val="21"/>
          <w:lang w:val="en-US" w:eastAsia="zh-CN" w:bidi="ar-SA"/>
        </w:rPr>
        <w:t>潘峰、杨雨瑶、陈红芳、李如意、刘献成、金鑫等</w:t>
      </w:r>
      <w:r>
        <w:rPr>
          <w:rFonts w:hint="eastAsia" w:ascii="Times New Roman" w:cs="Times New Roman"/>
          <w:sz w:val="21"/>
          <w:lang w:val="en-US" w:eastAsia="zh-CN" w:bidi="ar-SA"/>
        </w:rPr>
        <w:t>。</w:t>
      </w:r>
    </w:p>
    <w:p w14:paraId="5F0DA66B">
      <w:pPr>
        <w:jc w:val="center"/>
        <w:rPr>
          <w:rFonts w:eastAsia="黑体"/>
          <w:sz w:val="32"/>
          <w:szCs w:val="32"/>
        </w:rPr>
      </w:pPr>
      <w:r>
        <w:rPr>
          <w:rFonts w:eastAsia="黑体"/>
          <w:sz w:val="32"/>
          <w:szCs w:val="32"/>
        </w:rPr>
        <w:t>引  言</w:t>
      </w:r>
    </w:p>
    <w:p w14:paraId="57074685">
      <w:pPr>
        <w:pStyle w:val="98"/>
        <w:ind w:firstLine="420"/>
        <w:rPr>
          <w:rFonts w:ascii="Times New Roman"/>
        </w:rPr>
      </w:pPr>
      <w:r>
        <w:rPr>
          <w:rFonts w:ascii="Times New Roman"/>
        </w:rPr>
        <w:t>T/CIMA 0079</w:t>
      </w:r>
      <w:r>
        <w:rPr>
          <w:rFonts w:hint="eastAsia" w:ascii="Times New Roman"/>
        </w:rPr>
        <w:t>“</w:t>
      </w:r>
      <w:r>
        <w:rPr>
          <w:rFonts w:ascii="Times New Roman"/>
        </w:rPr>
        <w:t>基于电力流的碳排放计量</w:t>
      </w:r>
      <w:r>
        <w:rPr>
          <w:rFonts w:hint="eastAsia" w:ascii="Times New Roman"/>
        </w:rPr>
        <w:t>”</w:t>
      </w:r>
      <w:r>
        <w:rPr>
          <w:rFonts w:ascii="Times New Roman"/>
        </w:rPr>
        <w:t>由下列3个部分构成：</w:t>
      </w:r>
    </w:p>
    <w:p w14:paraId="7A0392BA">
      <w:pPr>
        <w:pStyle w:val="98"/>
        <w:ind w:left="840" w:leftChars="200" w:hanging="420" w:hangingChars="200"/>
        <w:rPr>
          <w:rFonts w:ascii="Times New Roman"/>
        </w:rPr>
      </w:pPr>
      <w:r>
        <w:rPr>
          <w:rFonts w:ascii="Times New Roman"/>
        </w:rPr>
        <w:t>——T/CIMA 0079.1《基于电力流的碳排放计量 第1部分：计量模型》。目的在于规定基于电力流的碳排放计量体系和计量模型，确立发电侧上网关口、输配电线路、负荷侧的碳排放计量方法。</w:t>
      </w:r>
    </w:p>
    <w:p w14:paraId="746AB953">
      <w:pPr>
        <w:pStyle w:val="98"/>
        <w:ind w:left="840" w:leftChars="200" w:hanging="420" w:hangingChars="200"/>
        <w:rPr>
          <w:rFonts w:ascii="Times New Roman"/>
        </w:rPr>
      </w:pPr>
      <w:r>
        <w:rPr>
          <w:rFonts w:ascii="Times New Roman"/>
        </w:rPr>
        <w:t>——T/CIMA 0079.2《基于电力流的碳排放计量 第2部分：计量设备》。目的在于规范基于电力流的碳排放计量设备的性能要求和功能要求，确立碳排放计量设备需要遵循的相关规则。</w:t>
      </w:r>
    </w:p>
    <w:p w14:paraId="7FFD8D40">
      <w:pPr>
        <w:pStyle w:val="98"/>
        <w:ind w:left="840" w:leftChars="200" w:hanging="420" w:hangingChars="200"/>
        <w:rPr>
          <w:rFonts w:ascii="Times New Roman"/>
        </w:rPr>
      </w:pPr>
      <w:r>
        <w:rPr>
          <w:rFonts w:ascii="Times New Roman"/>
        </w:rPr>
        <w:t>——T/CIMA 0079.3《基于电力流的碳排放计量 第3部分：计量系统》。目的在于规范基于电力流的碳排放计量系统的通用要求和功能要求，确立碳排放计量系统需要遵循的相关规则。</w:t>
      </w:r>
    </w:p>
    <w:p w14:paraId="456E0B82">
      <w:pPr>
        <w:pStyle w:val="98"/>
        <w:ind w:left="210" w:leftChars="100" w:firstLine="420"/>
        <w:rPr>
          <w:rFonts w:ascii="Times New Roman"/>
        </w:rPr>
      </w:pPr>
      <w:r>
        <w:rPr>
          <w:rFonts w:ascii="Times New Roman"/>
        </w:rPr>
        <w:t>本文件是关于基于电力流的碳排放计量——计量设备的标准，本文件将和以上系列标准的相关文件一起使用。</w:t>
      </w:r>
    </w:p>
    <w:p w14:paraId="3073D958">
      <w:pPr>
        <w:jc w:val="center"/>
        <w:rPr>
          <w:rFonts w:eastAsia="黑体"/>
          <w:sz w:val="32"/>
          <w:szCs w:val="32"/>
        </w:rPr>
      </w:pPr>
    </w:p>
    <w:p w14:paraId="1BF56388"/>
    <w:p w14:paraId="32D75D32">
      <w:pPr>
        <w:sectPr>
          <w:footerReference r:id="rId6" w:type="default"/>
          <w:pgSz w:w="11906" w:h="16838"/>
          <w:pgMar w:top="1440" w:right="1797" w:bottom="1440" w:left="1797" w:header="851" w:footer="992" w:gutter="0"/>
          <w:pgNumType w:fmt="decimal"/>
          <w:cols w:space="720" w:num="1"/>
          <w:docGrid w:type="lines" w:linePitch="312" w:charSpace="0"/>
        </w:sectPr>
      </w:pPr>
    </w:p>
    <w:p w14:paraId="72A4361B">
      <w:pPr>
        <w:jc w:val="center"/>
        <w:rPr>
          <w:rFonts w:eastAsia="黑体"/>
          <w:sz w:val="32"/>
          <w:szCs w:val="32"/>
        </w:rPr>
      </w:pPr>
      <w:r>
        <w:rPr>
          <w:rFonts w:eastAsia="黑体"/>
          <w:sz w:val="32"/>
          <w:szCs w:val="32"/>
        </w:rPr>
        <w:t>基于电力流的碳排放计量 第2部分：计量设备</w:t>
      </w:r>
    </w:p>
    <w:p w14:paraId="772BF945">
      <w:pPr>
        <w:pStyle w:val="15"/>
      </w:pPr>
    </w:p>
    <w:bookmarkEnd w:id="15"/>
    <w:p w14:paraId="64710C71">
      <w:pPr>
        <w:pStyle w:val="2"/>
        <w:numPr>
          <w:ilvl w:val="0"/>
          <w:numId w:val="10"/>
        </w:numPr>
        <w:spacing w:beforeLines="0" w:afterLines="0"/>
        <w:rPr>
          <w:rFonts w:ascii="Times New Roman" w:hAnsi="Times New Roman"/>
        </w:rPr>
      </w:pPr>
      <w:bookmarkStart w:id="16" w:name="_Toc3580"/>
      <w:bookmarkStart w:id="17" w:name="_Toc65447019"/>
      <w:r>
        <w:rPr>
          <w:rFonts w:ascii="Times New Roman" w:hAnsi="Times New Roman"/>
        </w:rPr>
        <w:t>范围</w:t>
      </w:r>
      <w:bookmarkEnd w:id="16"/>
      <w:bookmarkEnd w:id="17"/>
    </w:p>
    <w:p w14:paraId="601975A7">
      <w:pPr>
        <w:spacing w:line="360" w:lineRule="exact"/>
        <w:ind w:firstLine="420" w:firstLineChars="200"/>
        <w:jc w:val="both"/>
      </w:pPr>
      <w:r>
        <w:t>本文件规定了基于电力流的碳排放计量设备</w:t>
      </w:r>
      <w:r>
        <w:rPr>
          <w:rFonts w:hint="eastAsia"/>
        </w:rPr>
        <w:t>（简称电碳计量设备）</w:t>
      </w:r>
      <w:r>
        <w:t>的</w:t>
      </w:r>
      <w:r>
        <w:rPr>
          <w:rFonts w:hint="eastAsia"/>
        </w:rPr>
        <w:t>技术要求</w:t>
      </w:r>
      <w:r>
        <w:t>、试验方法、检验规则、包装和贮存。</w:t>
      </w:r>
    </w:p>
    <w:p w14:paraId="59EF897D">
      <w:pPr>
        <w:spacing w:line="360" w:lineRule="exact"/>
        <w:ind w:firstLine="420" w:firstLineChars="200"/>
        <w:jc w:val="both"/>
      </w:pPr>
      <w:r>
        <w:t>本文件适用于</w:t>
      </w:r>
      <w:r>
        <w:rPr>
          <w:rFonts w:hint="eastAsia"/>
        </w:rPr>
        <w:t>电碳计量设备</w:t>
      </w:r>
      <w:r>
        <w:t>的设计、制造、使用和验收。</w:t>
      </w:r>
    </w:p>
    <w:p w14:paraId="354C8607">
      <w:pPr>
        <w:pStyle w:val="2"/>
        <w:spacing w:beforeLines="0" w:afterLines="0"/>
        <w:ind w:left="431" w:hanging="431"/>
        <w:rPr>
          <w:rFonts w:ascii="Times New Roman" w:hAnsi="Times New Roman"/>
        </w:rPr>
      </w:pPr>
      <w:bookmarkStart w:id="18" w:name="_Toc31734"/>
      <w:bookmarkStart w:id="19" w:name="_Toc65447020"/>
      <w:r>
        <w:rPr>
          <w:rFonts w:ascii="Times New Roman" w:hAnsi="Times New Roman"/>
        </w:rPr>
        <w:t>规范性引用文件</w:t>
      </w:r>
      <w:bookmarkEnd w:id="18"/>
      <w:bookmarkEnd w:id="19"/>
    </w:p>
    <w:p w14:paraId="321CDA9A">
      <w:pPr>
        <w:ind w:firstLine="420" w:firstLineChars="200"/>
        <w:rPr>
          <w:szCs w:val="21"/>
        </w:rPr>
      </w:pPr>
      <w:r>
        <w:rPr>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CAFBC87">
      <w:pPr>
        <w:ind w:firstLine="420" w:firstLineChars="200"/>
      </w:pPr>
      <w:r>
        <w:t>GB/T</w:t>
      </w:r>
      <w:r>
        <w:rPr>
          <w:rFonts w:hint="eastAsia"/>
        </w:rPr>
        <w:t xml:space="preserve"> 13384</w:t>
      </w:r>
      <w:r>
        <w:rPr>
          <w:szCs w:val="21"/>
        </w:rPr>
        <w:t>—</w:t>
      </w:r>
      <w:r>
        <w:rPr>
          <w:rFonts w:hint="eastAsia"/>
        </w:rPr>
        <w:t>2008 机电产品包装通用技术条件</w:t>
      </w:r>
    </w:p>
    <w:p w14:paraId="6924C0C0">
      <w:pPr>
        <w:ind w:firstLine="420" w:firstLineChars="200"/>
        <w:rPr>
          <w:szCs w:val="21"/>
        </w:rPr>
      </w:pPr>
      <w:r>
        <w:rPr>
          <w:szCs w:val="21"/>
        </w:rPr>
        <w:t xml:space="preserve">GB/T 17215.211—2021  </w:t>
      </w:r>
      <w:r>
        <w:t>电测量设备（交流）通用要求、试验和试验条件 第11部分：测量设备</w:t>
      </w:r>
    </w:p>
    <w:p w14:paraId="54A93227">
      <w:pPr>
        <w:ind w:firstLine="420" w:firstLineChars="200"/>
        <w:rPr>
          <w:szCs w:val="21"/>
        </w:rPr>
      </w:pPr>
      <w:r>
        <w:rPr>
          <w:szCs w:val="21"/>
        </w:rPr>
        <w:t xml:space="preserve">GB/T 17215.321—2021  </w:t>
      </w:r>
      <w:r>
        <w:t>电测量设备（交流）特殊要求 第21部分：静止式有功电能表 (A级、B级、C级、D级和E级)</w:t>
      </w:r>
    </w:p>
    <w:p w14:paraId="026632DF">
      <w:pPr>
        <w:ind w:firstLine="420" w:firstLineChars="200"/>
        <w:rPr>
          <w:szCs w:val="21"/>
        </w:rPr>
      </w:pPr>
      <w:r>
        <w:t>T/CIMA 0079.1</w:t>
      </w:r>
      <w:r>
        <w:rPr>
          <w:szCs w:val="21"/>
        </w:rPr>
        <w:t>—</w:t>
      </w:r>
      <w:r>
        <w:t>2023  基于电力流的碳排放计量 第1部分：计量模型</w:t>
      </w:r>
    </w:p>
    <w:p w14:paraId="181C3454">
      <w:pPr>
        <w:pStyle w:val="2"/>
        <w:spacing w:beforeLines="0" w:afterLines="0"/>
        <w:ind w:left="431" w:hanging="431"/>
      </w:pPr>
      <w:bookmarkStart w:id="20" w:name="_Toc270951103"/>
      <w:bookmarkStart w:id="21" w:name="_Toc65447021"/>
      <w:bookmarkStart w:id="22" w:name="_Toc26181"/>
      <w:r>
        <w:rPr>
          <w:rFonts w:hint="eastAsia"/>
        </w:rPr>
        <w:t>术语和定义</w:t>
      </w:r>
      <w:bookmarkEnd w:id="20"/>
      <w:bookmarkEnd w:id="21"/>
      <w:bookmarkEnd w:id="22"/>
    </w:p>
    <w:p w14:paraId="140FC922">
      <w:pPr>
        <w:pStyle w:val="49"/>
        <w:tabs>
          <w:tab w:val="center" w:pos="4201"/>
          <w:tab w:val="right" w:leader="dot" w:pos="9298"/>
        </w:tabs>
        <w:ind w:firstLine="420"/>
        <w:rPr>
          <w:rFonts w:ascii="Times New Roman"/>
        </w:rPr>
      </w:pPr>
      <w:bookmarkStart w:id="23" w:name="_Toc64845757"/>
      <w:bookmarkEnd w:id="23"/>
      <w:bookmarkStart w:id="24" w:name="_Toc555"/>
      <w:bookmarkEnd w:id="24"/>
      <w:bookmarkStart w:id="25" w:name="_Toc65447022"/>
      <w:bookmarkEnd w:id="25"/>
      <w:bookmarkStart w:id="26" w:name="_Toc60065169"/>
      <w:r>
        <w:rPr>
          <w:rFonts w:ascii="Times New Roman"/>
          <w:szCs w:val="21"/>
        </w:rPr>
        <w:t>GB/T 17215.211—2021和T/CIMA 0079.1—2023</w:t>
      </w:r>
      <w:r>
        <w:rPr>
          <w:rFonts w:ascii="Times New Roman"/>
        </w:rPr>
        <w:t>界定的以及下列术语和定义适用于本文件</w:t>
      </w:r>
      <w:bookmarkStart w:id="27" w:name="_Toc19222"/>
      <w:bookmarkEnd w:id="27"/>
      <w:r>
        <w:rPr>
          <w:rFonts w:ascii="Times New Roman"/>
        </w:rPr>
        <w:t>。</w:t>
      </w:r>
    </w:p>
    <w:bookmarkEnd w:id="26"/>
    <w:p w14:paraId="21075664">
      <w:pPr>
        <w:pStyle w:val="3"/>
        <w:numPr>
          <w:ilvl w:val="0"/>
          <w:numId w:val="0"/>
        </w:numPr>
        <w:ind w:left="575" w:hanging="575" w:hangingChars="274"/>
      </w:pPr>
      <w:bookmarkStart w:id="28" w:name="_Toc26761"/>
      <w:bookmarkStart w:id="29" w:name="_Toc14679"/>
      <w:bookmarkStart w:id="30" w:name="_Toc16718"/>
      <w:bookmarkStart w:id="31" w:name="_Toc114041894"/>
      <w:bookmarkStart w:id="32" w:name="_Toc4450"/>
      <w:bookmarkStart w:id="33" w:name="_Toc109595350"/>
      <w:bookmarkStart w:id="34" w:name="_Toc108994457"/>
      <w:bookmarkStart w:id="35" w:name="_Toc6647"/>
      <w:bookmarkStart w:id="36" w:name="_Toc10768"/>
      <w:bookmarkStart w:id="37" w:name="_Toc23338"/>
      <w:bookmarkStart w:id="38" w:name="_Toc9197"/>
      <w:bookmarkStart w:id="39" w:name="_Toc65447023"/>
      <w:bookmarkStart w:id="40" w:name="_Toc64845758"/>
      <w:bookmarkStart w:id="41" w:name="_Toc3498"/>
      <w:bookmarkStart w:id="42" w:name="_Toc109595360"/>
      <w:bookmarkStart w:id="43" w:name="_Toc25020"/>
      <w:bookmarkStart w:id="44" w:name="_Hlk182572941"/>
      <w:r>
        <w:rPr>
          <w:rFonts w:hint="eastAsia"/>
        </w:rPr>
        <w:t>3.1</w:t>
      </w:r>
      <w:bookmarkEnd w:id="28"/>
      <w:bookmarkEnd w:id="29"/>
      <w:bookmarkEnd w:id="30"/>
      <w:bookmarkEnd w:id="31"/>
      <w:bookmarkEnd w:id="32"/>
      <w:bookmarkEnd w:id="33"/>
      <w:bookmarkEnd w:id="34"/>
      <w:bookmarkEnd w:id="35"/>
      <w:bookmarkEnd w:id="36"/>
      <w:bookmarkEnd w:id="37"/>
      <w:r>
        <w:rPr>
          <w:rFonts w:hint="eastAsia"/>
        </w:rPr>
        <w:t xml:space="preserve"> </w:t>
      </w:r>
    </w:p>
    <w:p w14:paraId="642526F4">
      <w:pPr>
        <w:pStyle w:val="3"/>
        <w:numPr>
          <w:ilvl w:val="0"/>
          <w:numId w:val="0"/>
        </w:numPr>
        <w:ind w:firstLine="420" w:firstLineChars="200"/>
        <w:rPr>
          <w:rFonts w:ascii="Times New Roman" w:hAnsi="Times New Roman"/>
        </w:rPr>
      </w:pPr>
      <w:bookmarkStart w:id="45" w:name="_Toc14210"/>
      <w:bookmarkStart w:id="46" w:name="_Toc13005"/>
      <w:bookmarkStart w:id="47" w:name="_Toc2801"/>
      <w:bookmarkStart w:id="48" w:name="_Toc16074"/>
      <w:bookmarkStart w:id="49" w:name="_Toc32321"/>
      <w:bookmarkStart w:id="50" w:name="_Toc124860801"/>
      <w:r>
        <w:rPr>
          <w:rFonts w:ascii="Times New Roman" w:hAnsi="Times New Roman"/>
        </w:rPr>
        <w:t>基于电力流的碳排放计量  measurement of carbon emission based on powerflow</w:t>
      </w:r>
      <w:bookmarkEnd w:id="45"/>
      <w:bookmarkEnd w:id="46"/>
      <w:bookmarkEnd w:id="47"/>
      <w:bookmarkEnd w:id="48"/>
      <w:bookmarkEnd w:id="49"/>
      <w:bookmarkEnd w:id="50"/>
    </w:p>
    <w:p w14:paraId="0FB3C185">
      <w:pPr>
        <w:ind w:firstLine="420" w:firstLineChars="200"/>
      </w:pPr>
      <w:r>
        <w:t>基于对电力系统中电力流的追踪与分析，对输配电线路损耗电量和电力用户消耗电量对应的发电环节产生的温室气体排放量的量值的准确可靠测量。</w:t>
      </w:r>
    </w:p>
    <w:p w14:paraId="390E7ABC">
      <w:pPr>
        <w:pStyle w:val="15"/>
        <w:ind w:firstLine="420" w:firstLineChars="200"/>
      </w:pPr>
      <w:r>
        <w:t>[来源：T/CIMA 0079.1—2023</w:t>
      </w:r>
      <w:r>
        <w:rPr>
          <w:rFonts w:hint="eastAsia"/>
        </w:rPr>
        <w:t>，3.2</w:t>
      </w:r>
      <w:r>
        <w:t>]</w:t>
      </w:r>
    </w:p>
    <w:p w14:paraId="488F306C">
      <w:pPr>
        <w:pStyle w:val="3"/>
        <w:numPr>
          <w:ilvl w:val="0"/>
          <w:numId w:val="0"/>
        </w:numPr>
        <w:ind w:left="575" w:hanging="575" w:hangingChars="274"/>
      </w:pPr>
      <w:bookmarkStart w:id="51" w:name="_Toc12728"/>
      <w:bookmarkStart w:id="52" w:name="_Toc114041896"/>
      <w:bookmarkStart w:id="53" w:name="_Toc109595352"/>
      <w:bookmarkStart w:id="54" w:name="_Toc26762"/>
      <w:bookmarkStart w:id="55" w:name="_Toc24924"/>
      <w:bookmarkStart w:id="56" w:name="_Toc1124"/>
      <w:bookmarkStart w:id="57" w:name="_Toc30607"/>
      <w:bookmarkStart w:id="58" w:name="_Toc25510"/>
      <w:bookmarkStart w:id="59" w:name="_Toc18800"/>
      <w:bookmarkStart w:id="60" w:name="_Toc108994459"/>
      <w:r>
        <w:rPr>
          <w:rFonts w:hint="eastAsia"/>
        </w:rPr>
        <w:t>3.2</w:t>
      </w:r>
      <w:bookmarkEnd w:id="51"/>
      <w:bookmarkEnd w:id="52"/>
      <w:bookmarkEnd w:id="53"/>
      <w:bookmarkEnd w:id="54"/>
      <w:bookmarkEnd w:id="55"/>
      <w:bookmarkEnd w:id="56"/>
      <w:bookmarkEnd w:id="57"/>
      <w:bookmarkEnd w:id="58"/>
      <w:bookmarkEnd w:id="59"/>
      <w:bookmarkEnd w:id="60"/>
      <w:r>
        <w:rPr>
          <w:rFonts w:hint="eastAsia"/>
        </w:rPr>
        <w:t xml:space="preserve"> </w:t>
      </w:r>
    </w:p>
    <w:p w14:paraId="6EA8B02F">
      <w:pPr>
        <w:pStyle w:val="3"/>
        <w:numPr>
          <w:ilvl w:val="0"/>
          <w:numId w:val="0"/>
        </w:numPr>
        <w:ind w:firstLine="420" w:firstLineChars="200"/>
        <w:rPr>
          <w:rFonts w:ascii="Times New Roman" w:hAnsi="Times New Roman"/>
        </w:rPr>
      </w:pPr>
      <w:bookmarkStart w:id="61" w:name="_Toc23869"/>
      <w:bookmarkStart w:id="62" w:name="_Toc28195"/>
      <w:bookmarkStart w:id="63" w:name="_Toc17807"/>
      <w:bookmarkStart w:id="64" w:name="_Toc12485"/>
      <w:bookmarkStart w:id="65" w:name="_Toc10833"/>
      <w:bookmarkStart w:id="66" w:name="_Toc114041897"/>
      <w:bookmarkStart w:id="67" w:name="_Toc32420"/>
      <w:bookmarkStart w:id="68" w:name="_Toc108994460"/>
      <w:bookmarkStart w:id="69" w:name="_Toc20226"/>
      <w:bookmarkStart w:id="70" w:name="_Toc109595353"/>
      <w:r>
        <w:rPr>
          <w:rFonts w:ascii="Times New Roman" w:hAnsi="Times New Roman"/>
        </w:rPr>
        <w:t>电力碳排放因子  electricity carbon emission factor</w:t>
      </w:r>
      <w:bookmarkEnd w:id="61"/>
      <w:bookmarkEnd w:id="62"/>
      <w:bookmarkEnd w:id="63"/>
      <w:bookmarkEnd w:id="64"/>
      <w:bookmarkEnd w:id="65"/>
      <w:bookmarkEnd w:id="66"/>
      <w:bookmarkEnd w:id="67"/>
      <w:bookmarkEnd w:id="68"/>
      <w:bookmarkEnd w:id="69"/>
      <w:bookmarkEnd w:id="70"/>
    </w:p>
    <w:bookmarkEnd w:id="38"/>
    <w:bookmarkEnd w:id="39"/>
    <w:bookmarkEnd w:id="40"/>
    <w:bookmarkEnd w:id="41"/>
    <w:p w14:paraId="2F284838">
      <w:pPr>
        <w:ind w:firstLine="420" w:firstLineChars="200"/>
      </w:pPr>
      <w:r>
        <w:t>表征单位电量所对应的温室气体排放量（以下简称“电碳因子”）。</w:t>
      </w:r>
    </w:p>
    <w:p w14:paraId="28327A12">
      <w:pPr>
        <w:pStyle w:val="15"/>
        <w:ind w:firstLine="420" w:firstLineChars="200"/>
      </w:pPr>
      <w:r>
        <w:t>[来源：T/CIMA 0079.1—2023</w:t>
      </w:r>
      <w:r>
        <w:rPr>
          <w:rFonts w:hint="eastAsia"/>
        </w:rPr>
        <w:t>，3.3</w:t>
      </w:r>
      <w:r>
        <w:t>]</w:t>
      </w:r>
    </w:p>
    <w:p w14:paraId="7CC914BC">
      <w:pPr>
        <w:pStyle w:val="3"/>
        <w:numPr>
          <w:ilvl w:val="0"/>
          <w:numId w:val="0"/>
        </w:numPr>
        <w:ind w:left="575" w:hanging="575" w:hangingChars="274"/>
      </w:pPr>
      <w:bookmarkStart w:id="71" w:name="_Toc114041900"/>
      <w:bookmarkStart w:id="72" w:name="_Toc25822"/>
      <w:bookmarkStart w:id="73" w:name="_Toc3967"/>
      <w:bookmarkStart w:id="74" w:name="_Toc12899"/>
      <w:bookmarkStart w:id="75" w:name="_Toc3453"/>
      <w:bookmarkStart w:id="76" w:name="_Toc1550"/>
      <w:bookmarkStart w:id="77" w:name="_Toc19192"/>
      <w:bookmarkStart w:id="78" w:name="_Toc28420"/>
      <w:r>
        <w:rPr>
          <w:rFonts w:hint="eastAsia"/>
        </w:rPr>
        <w:t>3.</w:t>
      </w:r>
      <w:bookmarkEnd w:id="71"/>
      <w:r>
        <w:rPr>
          <w:rFonts w:hint="eastAsia"/>
        </w:rPr>
        <w:t>3</w:t>
      </w:r>
      <w:bookmarkEnd w:id="72"/>
      <w:bookmarkEnd w:id="73"/>
      <w:bookmarkEnd w:id="74"/>
      <w:bookmarkEnd w:id="75"/>
      <w:bookmarkEnd w:id="76"/>
      <w:bookmarkEnd w:id="77"/>
      <w:bookmarkEnd w:id="78"/>
    </w:p>
    <w:p w14:paraId="7B8397B5">
      <w:pPr>
        <w:pStyle w:val="3"/>
        <w:numPr>
          <w:ilvl w:val="0"/>
          <w:numId w:val="0"/>
        </w:numPr>
        <w:ind w:firstLine="420" w:firstLineChars="200"/>
        <w:rPr>
          <w:rFonts w:ascii="Times New Roman" w:hAnsi="Times New Roman"/>
        </w:rPr>
      </w:pPr>
      <w:bookmarkStart w:id="79" w:name="_Toc1977"/>
      <w:bookmarkStart w:id="80" w:name="_Toc25999"/>
      <w:bookmarkStart w:id="81" w:name="_Toc13900"/>
      <w:bookmarkStart w:id="82" w:name="_Toc14067"/>
      <w:bookmarkStart w:id="83" w:name="_Toc1419"/>
      <w:bookmarkStart w:id="84" w:name="_Toc1710"/>
      <w:bookmarkStart w:id="85" w:name="_Toc23583"/>
      <w:r>
        <w:rPr>
          <w:rFonts w:hint="eastAsia" w:ascii="Times New Roman" w:hAnsi="Times New Roman"/>
        </w:rPr>
        <w:t>电碳计量设备</w:t>
      </w:r>
      <w:r>
        <w:rPr>
          <w:rFonts w:ascii="Times New Roman" w:hAnsi="Times New Roman"/>
        </w:rPr>
        <w:t xml:space="preserve">  </w:t>
      </w:r>
      <w:bookmarkEnd w:id="79"/>
      <w:bookmarkEnd w:id="80"/>
      <w:bookmarkEnd w:id="81"/>
      <w:bookmarkEnd w:id="82"/>
      <w:bookmarkEnd w:id="83"/>
      <w:r>
        <w:rPr>
          <w:rFonts w:ascii="Times New Roman" w:hAnsi="Times New Roman"/>
        </w:rPr>
        <w:t>metrology equipment for electricity carbon emission</w:t>
      </w:r>
      <w:bookmarkEnd w:id="84"/>
      <w:bookmarkEnd w:id="85"/>
    </w:p>
    <w:p w14:paraId="716C9B43">
      <w:pPr>
        <w:ind w:firstLine="420"/>
      </w:pPr>
      <w:r>
        <w:t>具备电能量和碳排放量计量功能的设备。</w:t>
      </w:r>
    </w:p>
    <w:p w14:paraId="03DBCF18">
      <w:pPr>
        <w:pStyle w:val="15"/>
        <w:ind w:firstLine="420" w:firstLineChars="200"/>
      </w:pPr>
      <w:r>
        <w:t>[来源：T/CIMA 0079.1—2023</w:t>
      </w:r>
      <w:r>
        <w:rPr>
          <w:rFonts w:hint="eastAsia"/>
        </w:rPr>
        <w:t>，3.5</w:t>
      </w:r>
      <w:r>
        <w:t>]</w:t>
      </w:r>
    </w:p>
    <w:p w14:paraId="1649AFE7">
      <w:pPr>
        <w:pStyle w:val="3"/>
        <w:numPr>
          <w:ilvl w:val="0"/>
          <w:numId w:val="0"/>
        </w:numPr>
        <w:ind w:left="575" w:hanging="575" w:hangingChars="274"/>
      </w:pPr>
      <w:bookmarkStart w:id="86" w:name="_Toc114041898"/>
      <w:bookmarkStart w:id="87" w:name="_Toc12913"/>
      <w:bookmarkStart w:id="88" w:name="_Toc20497"/>
      <w:bookmarkStart w:id="89" w:name="_Toc14738"/>
      <w:bookmarkStart w:id="90" w:name="_Toc9074"/>
      <w:bookmarkStart w:id="91" w:name="_Toc19795"/>
      <w:bookmarkStart w:id="92" w:name="_Toc12415"/>
      <w:bookmarkStart w:id="93" w:name="_Toc31889"/>
      <w:r>
        <w:rPr>
          <w:rFonts w:hint="eastAsia"/>
        </w:rPr>
        <w:t>3.</w:t>
      </w:r>
      <w:bookmarkEnd w:id="86"/>
      <w:r>
        <w:rPr>
          <w:rFonts w:hint="eastAsia"/>
        </w:rPr>
        <w:t>4</w:t>
      </w:r>
      <w:bookmarkEnd w:id="87"/>
      <w:bookmarkEnd w:id="88"/>
      <w:bookmarkEnd w:id="89"/>
      <w:bookmarkEnd w:id="90"/>
      <w:bookmarkEnd w:id="91"/>
      <w:bookmarkEnd w:id="92"/>
      <w:bookmarkEnd w:id="93"/>
    </w:p>
    <w:p w14:paraId="21623C11">
      <w:pPr>
        <w:pStyle w:val="3"/>
        <w:numPr>
          <w:ilvl w:val="0"/>
          <w:numId w:val="0"/>
        </w:numPr>
        <w:ind w:firstLine="420" w:firstLineChars="200"/>
        <w:rPr>
          <w:rFonts w:ascii="Times New Roman" w:hAnsi="Times New Roman"/>
        </w:rPr>
      </w:pPr>
      <w:bookmarkStart w:id="94" w:name="_Toc114041899"/>
      <w:bookmarkStart w:id="95" w:name="_Toc10179"/>
      <w:bookmarkStart w:id="96" w:name="_Toc27763"/>
      <w:bookmarkStart w:id="97" w:name="_Toc10202"/>
      <w:bookmarkStart w:id="98" w:name="_Toc4053"/>
      <w:bookmarkStart w:id="99" w:name="_Toc25973"/>
      <w:bookmarkStart w:id="100" w:name="_Toc2468"/>
      <w:bookmarkStart w:id="101" w:name="_Toc5909"/>
      <w:r>
        <w:rPr>
          <w:rFonts w:ascii="Times New Roman" w:hAnsi="Times New Roman"/>
        </w:rPr>
        <w:t>电碳计量系统</w:t>
      </w:r>
      <w:bookmarkEnd w:id="94"/>
      <w:r>
        <w:rPr>
          <w:rFonts w:ascii="Times New Roman" w:hAnsi="Times New Roman"/>
        </w:rPr>
        <w:t xml:space="preserve">  </w:t>
      </w:r>
      <w:bookmarkEnd w:id="95"/>
      <w:bookmarkEnd w:id="96"/>
      <w:bookmarkEnd w:id="97"/>
      <w:bookmarkEnd w:id="98"/>
      <w:bookmarkEnd w:id="99"/>
      <w:r>
        <w:rPr>
          <w:rFonts w:ascii="Times New Roman" w:hAnsi="Times New Roman"/>
        </w:rPr>
        <w:t>metrology system for electricity carbon emission</w:t>
      </w:r>
      <w:bookmarkEnd w:id="100"/>
      <w:bookmarkEnd w:id="101"/>
    </w:p>
    <w:p w14:paraId="5E306467">
      <w:pPr>
        <w:ind w:firstLine="420"/>
      </w:pPr>
      <w:r>
        <w:t>具备对电厂、变电站、公变、专变、低压用户等发电侧、供电侧、配电侧和用户侧电能数据和碳排放数据采集、监测和分析等功能的系统</w:t>
      </w:r>
      <w:r>
        <w:rPr>
          <w:rFonts w:hint="eastAsia"/>
        </w:rPr>
        <w:t>（</w:t>
      </w:r>
      <w:r>
        <w:t>以下简称“</w:t>
      </w:r>
      <w:r>
        <w:rPr>
          <w:rFonts w:hint="eastAsia"/>
        </w:rPr>
        <w:t>系统</w:t>
      </w:r>
      <w:r>
        <w:t>”</w:t>
      </w:r>
      <w:r>
        <w:rPr>
          <w:rFonts w:hint="eastAsia"/>
        </w:rPr>
        <w:t>）</w:t>
      </w:r>
      <w:r>
        <w:t>。</w:t>
      </w:r>
    </w:p>
    <w:p w14:paraId="7B4811CA">
      <w:pPr>
        <w:ind w:firstLine="420"/>
      </w:pPr>
      <w:r>
        <w:t>[来源：T/CIMA 0079.1—2023</w:t>
      </w:r>
      <w:r>
        <w:rPr>
          <w:rFonts w:hint="eastAsia"/>
        </w:rPr>
        <w:t>，3.6</w:t>
      </w:r>
      <w:r>
        <w:t>]</w:t>
      </w:r>
    </w:p>
    <w:p w14:paraId="6E9F2C50">
      <w:pPr>
        <w:pStyle w:val="3"/>
        <w:numPr>
          <w:ilvl w:val="0"/>
          <w:numId w:val="0"/>
        </w:numPr>
        <w:ind w:left="575" w:hanging="575" w:hangingChars="274"/>
      </w:pPr>
      <w:bookmarkStart w:id="102" w:name="_Toc2373"/>
      <w:r>
        <w:rPr>
          <w:rFonts w:hint="eastAsia"/>
        </w:rPr>
        <w:t>3.5</w:t>
      </w:r>
      <w:bookmarkEnd w:id="102"/>
    </w:p>
    <w:p w14:paraId="0DC6BE5A">
      <w:pPr>
        <w:pStyle w:val="3"/>
        <w:numPr>
          <w:ilvl w:val="0"/>
          <w:numId w:val="0"/>
        </w:numPr>
        <w:ind w:firstLine="420" w:firstLineChars="200"/>
        <w:rPr>
          <w:rFonts w:ascii="Times New Roman" w:hAnsi="Times New Roman"/>
        </w:rPr>
      </w:pPr>
      <w:bookmarkStart w:id="103" w:name="_Toc31913"/>
      <w:r>
        <w:rPr>
          <w:rFonts w:ascii="Times New Roman" w:hAnsi="Times New Roman"/>
        </w:rPr>
        <w:t>电碳计量</w:t>
      </w:r>
      <w:r>
        <w:rPr>
          <w:rFonts w:hint="eastAsia" w:ascii="Times New Roman" w:hAnsi="Times New Roman"/>
        </w:rPr>
        <w:t>准确度</w:t>
      </w:r>
      <w:r>
        <w:rPr>
          <w:rFonts w:ascii="Times New Roman" w:hAnsi="Times New Roman"/>
        </w:rPr>
        <w:t xml:space="preserve">  </w:t>
      </w:r>
      <w:r>
        <w:rPr>
          <w:rFonts w:hint="eastAsia" w:ascii="Times New Roman" w:hAnsi="Times New Roman"/>
        </w:rPr>
        <w:t>accuracy of</w:t>
      </w:r>
      <w:r>
        <w:rPr>
          <w:rFonts w:ascii="Times New Roman" w:hAnsi="Times New Roman"/>
        </w:rPr>
        <w:t xml:space="preserve"> </w:t>
      </w:r>
      <w:r>
        <w:rPr>
          <w:rFonts w:hint="eastAsia" w:ascii="Times New Roman" w:hAnsi="Times New Roman"/>
        </w:rPr>
        <w:t>electricity carbon emission</w:t>
      </w:r>
      <w:bookmarkEnd w:id="103"/>
    </w:p>
    <w:p w14:paraId="1672250E">
      <w:pPr>
        <w:ind w:firstLine="420"/>
      </w:pPr>
      <w:r>
        <w:rPr>
          <w:rFonts w:hint="eastAsia"/>
        </w:rPr>
        <w:t>电力碳排放测量值与真实值之间的接近程度。</w:t>
      </w:r>
    </w:p>
    <w:p w14:paraId="3AAE9B0C">
      <w:pPr>
        <w:ind w:firstLine="420"/>
        <w:rPr>
          <w:rFonts w:ascii="宋体" w:hAnsi="宋体" w:cs="宋体"/>
          <w:sz w:val="18"/>
          <w:szCs w:val="18"/>
        </w:rPr>
      </w:pPr>
      <w:r>
        <w:rPr>
          <w:rFonts w:hint="eastAsia" w:ascii="黑体" w:hAnsi="黑体" w:eastAsia="黑体" w:cs="黑体"/>
          <w:b/>
          <w:bCs/>
          <w:sz w:val="18"/>
          <w:szCs w:val="18"/>
        </w:rPr>
        <w:t>注1：</w:t>
      </w:r>
      <w:r>
        <w:rPr>
          <w:rFonts w:hint="eastAsia" w:ascii="宋体" w:hAnsi="宋体" w:cs="宋体"/>
          <w:sz w:val="18"/>
          <w:szCs w:val="18"/>
        </w:rPr>
        <w:t>实际测量中，通常采用相对真值（由高一级标准给出）。</w:t>
      </w:r>
    </w:p>
    <w:p w14:paraId="4F2B53D6">
      <w:pPr>
        <w:ind w:firstLine="420"/>
        <w:rPr>
          <w:sz w:val="18"/>
          <w:szCs w:val="18"/>
        </w:rPr>
      </w:pPr>
      <w:r>
        <w:rPr>
          <w:rFonts w:hint="eastAsia" w:ascii="黑体" w:hAnsi="黑体" w:eastAsia="黑体" w:cs="黑体"/>
          <w:b/>
          <w:bCs/>
          <w:sz w:val="18"/>
          <w:szCs w:val="18"/>
        </w:rPr>
        <w:t>注2：</w:t>
      </w:r>
      <w:r>
        <w:rPr>
          <w:rFonts w:hint="eastAsia"/>
          <w:sz w:val="18"/>
          <w:szCs w:val="18"/>
        </w:rPr>
        <w:t>电力碳排放测量值的算法见公式（1）。</w:t>
      </w:r>
    </w:p>
    <w:p w14:paraId="2714D6A2">
      <w:pPr>
        <w:ind w:firstLine="360" w:firstLineChars="200"/>
        <w:jc w:val="right"/>
        <w:rPr>
          <w:sz w:val="18"/>
          <w:szCs w:val="18"/>
        </w:rPr>
      </w:pPr>
      <w:r>
        <w:rPr>
          <w:rFonts w:hint="eastAsia"/>
          <w:i/>
          <w:iCs/>
          <w:sz w:val="18"/>
          <w:szCs w:val="18"/>
        </w:rPr>
        <w:t>C</w:t>
      </w:r>
      <w:r>
        <w:rPr>
          <w:rFonts w:hint="eastAsia"/>
          <w:sz w:val="18"/>
          <w:szCs w:val="18"/>
        </w:rPr>
        <w:t>=</w:t>
      </w:r>
      <w:r>
        <w:rPr>
          <w:rFonts w:hint="eastAsia"/>
          <w:i/>
          <w:iCs/>
          <w:sz w:val="18"/>
          <w:szCs w:val="18"/>
        </w:rPr>
        <w:t>E</w:t>
      </w:r>
      <w:r>
        <w:rPr>
          <w:rFonts w:ascii="Arial" w:hAnsi="Arial" w:cs="Arial"/>
          <w:i/>
          <w:iCs/>
          <w:sz w:val="18"/>
          <w:szCs w:val="18"/>
        </w:rPr>
        <w:t>×</w:t>
      </w:r>
      <m:oMath>
        <m:r>
          <m:rPr/>
          <w:rPr>
            <w:rFonts w:ascii="Cambria Math" w:hAnsi="Cambria Math"/>
            <w:sz w:val="18"/>
            <w:szCs w:val="18"/>
          </w:rPr>
          <m:t>δ</m:t>
        </m:r>
      </m:oMath>
      <w:r>
        <w:rPr>
          <w:rFonts w:hint="eastAsia" w:hAnsi="Cambria Math"/>
          <w:i/>
          <w:sz w:val="18"/>
          <w:szCs w:val="18"/>
        </w:rPr>
        <w:t xml:space="preserve">   </w:t>
      </w:r>
      <w:r>
        <w:rPr>
          <w:rFonts w:hint="eastAsia" w:hAnsi="Cambria Math"/>
          <w:i/>
          <w:sz w:val="18"/>
          <w:szCs w:val="18"/>
          <w:lang w:val="en-US" w:eastAsia="zh-CN"/>
        </w:rPr>
        <w:t>..........................................................................................</w:t>
      </w:r>
      <w:r>
        <w:rPr>
          <w:rFonts w:hint="eastAsia" w:hAnsi="Cambria Math"/>
          <w:i/>
          <w:sz w:val="18"/>
          <w:szCs w:val="18"/>
        </w:rPr>
        <w:t xml:space="preserve"> </w:t>
      </w:r>
      <w:r>
        <w:rPr>
          <w:rFonts w:hint="eastAsia"/>
          <w:sz w:val="18"/>
          <w:szCs w:val="18"/>
        </w:rPr>
        <w:t>（1）</w:t>
      </w:r>
    </w:p>
    <w:p w14:paraId="3B404294">
      <w:pPr>
        <w:ind w:firstLine="360" w:firstLineChars="200"/>
        <w:jc w:val="both"/>
        <w:rPr>
          <w:sz w:val="18"/>
          <w:szCs w:val="18"/>
        </w:rPr>
      </w:pPr>
      <w:r>
        <w:rPr>
          <w:rFonts w:hint="eastAsia"/>
          <w:sz w:val="18"/>
          <w:szCs w:val="18"/>
        </w:rPr>
        <w:t>式中：</w:t>
      </w:r>
    </w:p>
    <w:p w14:paraId="4C2DC238">
      <w:pPr>
        <w:ind w:firstLine="360" w:firstLineChars="200"/>
        <w:jc w:val="both"/>
        <w:rPr>
          <w:sz w:val="18"/>
          <w:szCs w:val="18"/>
        </w:rPr>
      </w:pPr>
      <w:r>
        <w:rPr>
          <w:rFonts w:hint="eastAsia"/>
          <w:i/>
          <w:iCs/>
          <w:sz w:val="18"/>
          <w:szCs w:val="18"/>
        </w:rPr>
        <w:t>C</w:t>
      </w:r>
      <w:r>
        <w:rPr>
          <w:rFonts w:hint="eastAsia"/>
          <w:sz w:val="18"/>
          <w:szCs w:val="18"/>
        </w:rPr>
        <w:t>——电碳量，单位为千克（kg）；</w:t>
      </w:r>
    </w:p>
    <w:p w14:paraId="73514C19">
      <w:pPr>
        <w:snapToGrid w:val="0"/>
        <w:ind w:firstLine="360" w:firstLineChars="200"/>
        <w:jc w:val="both"/>
        <w:rPr>
          <w:sz w:val="18"/>
          <w:szCs w:val="18"/>
        </w:rPr>
      </w:pPr>
      <w:r>
        <w:rPr>
          <w:rFonts w:hint="eastAsia"/>
          <w:i/>
          <w:iCs/>
          <w:sz w:val="18"/>
          <w:szCs w:val="18"/>
        </w:rPr>
        <w:t>E</w:t>
      </w:r>
      <w:r>
        <w:rPr>
          <w:rFonts w:hint="eastAsia"/>
          <w:sz w:val="18"/>
          <w:szCs w:val="18"/>
        </w:rPr>
        <w:t>——电碳计量设备计量的</w:t>
      </w:r>
      <w:r>
        <w:rPr>
          <w:sz w:val="18"/>
          <w:szCs w:val="18"/>
        </w:rPr>
        <w:t>电</w:t>
      </w:r>
      <w:r>
        <w:rPr>
          <w:rFonts w:hint="eastAsia"/>
          <w:sz w:val="18"/>
          <w:szCs w:val="18"/>
        </w:rPr>
        <w:t>能</w:t>
      </w:r>
      <w:r>
        <w:rPr>
          <w:sz w:val="18"/>
          <w:szCs w:val="18"/>
        </w:rPr>
        <w:t>量</w:t>
      </w:r>
      <w:r>
        <w:rPr>
          <w:rFonts w:hint="eastAsia"/>
          <w:sz w:val="18"/>
          <w:szCs w:val="18"/>
        </w:rPr>
        <w:t>，单位为千瓦时（kW</w:t>
      </w:r>
      <w:r>
        <w:rPr>
          <w:rFonts w:hint="eastAsia" w:ascii="微软雅黑" w:hAnsi="微软雅黑" w:eastAsia="微软雅黑" w:cs="微软雅黑"/>
          <w:sz w:val="18"/>
          <w:szCs w:val="18"/>
        </w:rPr>
        <w:t>·</w:t>
      </w:r>
      <w:r>
        <w:rPr>
          <w:rFonts w:hint="eastAsia"/>
          <w:sz w:val="18"/>
          <w:szCs w:val="18"/>
        </w:rPr>
        <w:t>h）；</w:t>
      </w:r>
    </w:p>
    <w:p w14:paraId="72DF8214">
      <w:pPr>
        <w:ind w:firstLine="360" w:firstLineChars="200"/>
        <w:rPr>
          <w:sz w:val="18"/>
          <w:szCs w:val="18"/>
        </w:rPr>
      </w:pPr>
      <m:oMath>
        <m:r>
          <m:rPr/>
          <w:rPr>
            <w:rFonts w:ascii="Cambria Math" w:hAnsi="Cambria Math"/>
            <w:sz w:val="18"/>
            <w:szCs w:val="18"/>
          </w:rPr>
          <m:t>δ</m:t>
        </m:r>
      </m:oMath>
      <w:r>
        <w:rPr>
          <w:rFonts w:hint="eastAsia" w:hAnsi="Cambria Math"/>
          <w:sz w:val="18"/>
          <w:szCs w:val="18"/>
        </w:rPr>
        <w:t>——电碳计量系统下发的电碳因子，单位为千克每千瓦时[</w:t>
      </w:r>
      <w:r>
        <w:rPr>
          <w:sz w:val="18"/>
          <w:szCs w:val="18"/>
        </w:rPr>
        <w:t>kg/</w:t>
      </w:r>
      <w:r>
        <w:rPr>
          <w:rFonts w:hint="eastAsia"/>
          <w:sz w:val="18"/>
          <w:szCs w:val="18"/>
        </w:rPr>
        <w:t>(</w:t>
      </w:r>
      <w:r>
        <w:rPr>
          <w:sz w:val="18"/>
          <w:szCs w:val="18"/>
        </w:rPr>
        <w:t>kW·h</w:t>
      </w:r>
      <w:r>
        <w:rPr>
          <w:rFonts w:hint="eastAsia"/>
          <w:sz w:val="18"/>
          <w:szCs w:val="18"/>
        </w:rPr>
        <w:t>)</w:t>
      </w:r>
      <w:r>
        <w:rPr>
          <w:rFonts w:hint="eastAsia" w:hAnsi="Cambria Math"/>
          <w:sz w:val="18"/>
          <w:szCs w:val="18"/>
        </w:rPr>
        <w:t>]。</w:t>
      </w:r>
    </w:p>
    <w:bookmarkEnd w:id="42"/>
    <w:bookmarkEnd w:id="43"/>
    <w:p w14:paraId="267FE563">
      <w:pPr>
        <w:pStyle w:val="2"/>
        <w:spacing w:beforeLines="0" w:afterLines="0"/>
        <w:ind w:left="431" w:hanging="431"/>
      </w:pPr>
      <w:bookmarkStart w:id="104" w:name="_Toc124860810"/>
      <w:bookmarkStart w:id="105" w:name="_Toc1490"/>
      <w:r>
        <w:rPr>
          <w:rFonts w:hint="eastAsia"/>
        </w:rPr>
        <w:t>基于电力流的碳排放计量体系</w:t>
      </w:r>
      <w:bookmarkEnd w:id="104"/>
      <w:bookmarkEnd w:id="105"/>
    </w:p>
    <w:p w14:paraId="1D2E8F94">
      <w:pPr>
        <w:pStyle w:val="3"/>
        <w:ind w:left="431" w:hanging="431"/>
      </w:pPr>
      <w:bookmarkStart w:id="106" w:name="_Toc109595361"/>
      <w:bookmarkStart w:id="107" w:name="_Toc20935"/>
      <w:bookmarkStart w:id="108" w:name="_Toc124860811"/>
      <w:r>
        <w:rPr>
          <w:rFonts w:hint="eastAsia"/>
        </w:rPr>
        <w:t>概述</w:t>
      </w:r>
      <w:bookmarkEnd w:id="106"/>
      <w:bookmarkEnd w:id="107"/>
      <w:bookmarkEnd w:id="108"/>
    </w:p>
    <w:p w14:paraId="0B621E16">
      <w:pPr>
        <w:pStyle w:val="15"/>
        <w:spacing w:after="0"/>
        <w:ind w:firstLine="420" w:firstLineChars="200"/>
      </w:pPr>
      <w:r>
        <w:rPr>
          <w:rFonts w:hint="eastAsia"/>
        </w:rPr>
        <w:t>电力生产侧的碳排放是由发电厂直接排入大气。电力消费侧的碳排放是由发电厂产生，经电网输配电线路流入电力消费侧。</w:t>
      </w:r>
    </w:p>
    <w:p w14:paraId="13EA0CE2">
      <w:pPr>
        <w:pStyle w:val="3"/>
        <w:ind w:left="431" w:hanging="431"/>
      </w:pPr>
      <w:bookmarkStart w:id="109" w:name="_Toc124860813"/>
      <w:bookmarkStart w:id="110" w:name="_Toc17227"/>
      <w:r>
        <w:rPr>
          <w:rFonts w:hint="eastAsia"/>
        </w:rPr>
        <w:t>体系架构</w:t>
      </w:r>
      <w:bookmarkEnd w:id="109"/>
      <w:bookmarkEnd w:id="110"/>
    </w:p>
    <w:p w14:paraId="0D3FA6E9">
      <w:pPr>
        <w:pStyle w:val="15"/>
        <w:spacing w:after="0"/>
        <w:ind w:firstLine="420" w:firstLineChars="200"/>
      </w:pPr>
      <w:r>
        <w:rPr>
          <w:rFonts w:hint="eastAsia"/>
        </w:rPr>
        <w:t>基于电力流的碳排放计量体系的典型架构见图1。基于电力流的碳排放计量体系包括电碳计量模型、电碳计量设备和电碳计量系统。</w:t>
      </w:r>
    </w:p>
    <w:p w14:paraId="1E1957D2">
      <w:pPr>
        <w:pStyle w:val="15"/>
        <w:spacing w:beforeLines="50" w:afterLines="50"/>
        <w:jc w:val="center"/>
      </w:pPr>
      <w:r>
        <w:drawing>
          <wp:inline distT="0" distB="0" distL="0" distR="0">
            <wp:extent cx="4803140" cy="2500630"/>
            <wp:effectExtent l="0" t="0" r="6985" b="4445"/>
            <wp:docPr id="20875194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19424" name="图片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11159" cy="2504948"/>
                    </a:xfrm>
                    <a:prstGeom prst="rect">
                      <a:avLst/>
                    </a:prstGeom>
                    <a:noFill/>
                  </pic:spPr>
                </pic:pic>
              </a:graphicData>
            </a:graphic>
          </wp:inline>
        </w:drawing>
      </w:r>
    </w:p>
    <w:p w14:paraId="79C27029">
      <w:pPr>
        <w:pStyle w:val="49"/>
        <w:ind w:firstLine="420"/>
        <w:jc w:val="center"/>
        <w:rPr>
          <w:rFonts w:ascii="Times New Roman"/>
        </w:rPr>
      </w:pPr>
      <w:r>
        <w:rPr>
          <w:rFonts w:ascii="Times New Roman"/>
        </w:rPr>
        <w:t>图</w:t>
      </w:r>
      <w:r>
        <w:rPr>
          <w:rFonts w:hint="eastAsia" w:ascii="Times New Roman"/>
        </w:rPr>
        <w:t>1</w:t>
      </w:r>
      <w:r>
        <w:rPr>
          <w:rFonts w:ascii="Times New Roman"/>
        </w:rPr>
        <w:t xml:space="preserve"> </w:t>
      </w:r>
      <w:r>
        <w:rPr>
          <w:rFonts w:hint="eastAsia" w:ascii="Times New Roman"/>
        </w:rPr>
        <w:t>基于电力流的碳排放计量体系框架图</w:t>
      </w:r>
    </w:p>
    <w:p w14:paraId="340D7E4B">
      <w:pPr>
        <w:pStyle w:val="3"/>
        <w:ind w:left="431" w:hanging="431"/>
      </w:pPr>
      <w:bookmarkStart w:id="111" w:name="_Toc124860812"/>
      <w:bookmarkStart w:id="112" w:name="_Toc2950"/>
      <w:r>
        <w:rPr>
          <w:rFonts w:hint="eastAsia"/>
        </w:rPr>
        <w:t>计量</w:t>
      </w:r>
      <w:bookmarkEnd w:id="111"/>
      <w:r>
        <w:rPr>
          <w:rFonts w:hint="eastAsia"/>
        </w:rPr>
        <w:t>模型</w:t>
      </w:r>
      <w:bookmarkEnd w:id="112"/>
    </w:p>
    <w:p w14:paraId="611017EB">
      <w:pPr>
        <w:pStyle w:val="15"/>
        <w:spacing w:after="0"/>
        <w:ind w:firstLine="420" w:firstLineChars="200"/>
      </w:pPr>
      <w:r>
        <w:rPr>
          <w:rFonts w:hint="eastAsia"/>
        </w:rPr>
        <w:t>电碳</w:t>
      </w:r>
      <w:r>
        <w:t>计量模型应符合T/CIMA 0079.1</w:t>
      </w:r>
      <w:r>
        <w:rPr>
          <w:szCs w:val="21"/>
        </w:rPr>
        <w:t>—</w:t>
      </w:r>
      <w:r>
        <w:t>2023的规定。</w:t>
      </w:r>
    </w:p>
    <w:bookmarkEnd w:id="44"/>
    <w:p w14:paraId="43C5E9C0">
      <w:pPr>
        <w:pStyle w:val="2"/>
        <w:spacing w:beforeLines="0" w:afterLines="0"/>
        <w:ind w:left="431" w:hanging="431"/>
      </w:pPr>
      <w:bookmarkStart w:id="113" w:name="_Toc17836"/>
      <w:r>
        <w:rPr>
          <w:rFonts w:hint="eastAsia"/>
        </w:rPr>
        <w:t>技术要求</w:t>
      </w:r>
      <w:bookmarkEnd w:id="113"/>
    </w:p>
    <w:p w14:paraId="0F14FF0B">
      <w:pPr>
        <w:pStyle w:val="3"/>
        <w:ind w:left="431" w:hanging="431"/>
      </w:pPr>
      <w:bookmarkStart w:id="114" w:name="_Toc14576"/>
      <w:bookmarkStart w:id="115" w:name="_Toc183601209"/>
      <w:bookmarkStart w:id="116" w:name="_Toc25382"/>
      <w:r>
        <w:rPr>
          <w:rFonts w:hint="eastAsia"/>
        </w:rPr>
        <w:t>机械性能</w:t>
      </w:r>
      <w:bookmarkEnd w:id="114"/>
      <w:bookmarkEnd w:id="115"/>
      <w:bookmarkEnd w:id="116"/>
    </w:p>
    <w:p w14:paraId="2B0F8DBA">
      <w:pPr>
        <w:pStyle w:val="15"/>
        <w:snapToGrid w:val="0"/>
        <w:spacing w:after="0"/>
        <w:ind w:firstLine="420" w:firstLineChars="200"/>
        <w:jc w:val="both"/>
      </w:pPr>
      <w:r>
        <w:t>结构除应符合GB/T 17215.321</w:t>
      </w:r>
      <w:r>
        <w:rPr>
          <w:szCs w:val="21"/>
        </w:rPr>
        <w:t>—</w:t>
      </w:r>
      <w:r>
        <w:t>2021中第5章的规定外，测量值显示还应包含：</w:t>
      </w:r>
    </w:p>
    <w:p w14:paraId="16AEE8C0">
      <w:pPr>
        <w:widowControl/>
        <w:numPr>
          <w:ilvl w:val="0"/>
          <w:numId w:val="11"/>
        </w:numPr>
        <w:tabs>
          <w:tab w:val="center" w:pos="4201"/>
          <w:tab w:val="right" w:leader="dot" w:pos="9298"/>
        </w:tabs>
        <w:topLinePunct/>
        <w:autoSpaceDE w:val="0"/>
        <w:autoSpaceDN w:val="0"/>
        <w:ind w:firstLine="420" w:firstLineChars="200"/>
      </w:pPr>
      <w:r>
        <w:t>当前电碳因子</w:t>
      </w:r>
      <w:r>
        <w:rPr>
          <w:rFonts w:hint="eastAsia"/>
        </w:rPr>
        <w:t>，</w:t>
      </w:r>
      <w:r>
        <w:t>单位应为千克每千瓦时（kg/kWh）；</w:t>
      </w:r>
    </w:p>
    <w:p w14:paraId="4BB6D567">
      <w:pPr>
        <w:widowControl/>
        <w:numPr>
          <w:ilvl w:val="0"/>
          <w:numId w:val="11"/>
        </w:numPr>
        <w:tabs>
          <w:tab w:val="center" w:pos="4201"/>
          <w:tab w:val="right" w:leader="dot" w:pos="9298"/>
        </w:tabs>
        <w:topLinePunct/>
        <w:autoSpaceDE w:val="0"/>
        <w:autoSpaceDN w:val="0"/>
        <w:ind w:firstLine="420" w:firstLineChars="200"/>
      </w:pPr>
      <w:r>
        <w:t>当前正、反向电碳量</w:t>
      </w:r>
      <w:r>
        <w:rPr>
          <w:rFonts w:hint="eastAsia"/>
        </w:rPr>
        <w:t>，</w:t>
      </w:r>
      <w:r>
        <w:t>单位</w:t>
      </w:r>
      <w:r>
        <w:rPr>
          <w:rFonts w:hint="eastAsia"/>
        </w:rPr>
        <w:t>宜</w:t>
      </w:r>
      <w:r>
        <w:t>为千克（kg）</w:t>
      </w:r>
      <w:r>
        <w:rPr>
          <w:rFonts w:hint="eastAsia"/>
        </w:rPr>
        <w:t>、吨（</w:t>
      </w:r>
      <w:r>
        <w:t>t</w:t>
      </w:r>
      <w:r>
        <w:rPr>
          <w:rFonts w:hint="eastAsia"/>
        </w:rPr>
        <w:t>）</w:t>
      </w:r>
      <w:r>
        <w:t>；</w:t>
      </w:r>
    </w:p>
    <w:p w14:paraId="7263EC0D">
      <w:pPr>
        <w:widowControl/>
        <w:numPr>
          <w:ilvl w:val="0"/>
          <w:numId w:val="11"/>
        </w:numPr>
        <w:tabs>
          <w:tab w:val="center" w:pos="4201"/>
          <w:tab w:val="right" w:leader="dot" w:pos="9298"/>
        </w:tabs>
        <w:topLinePunct/>
        <w:autoSpaceDE w:val="0"/>
        <w:autoSpaceDN w:val="0"/>
        <w:ind w:firstLine="420" w:firstLineChars="200"/>
      </w:pPr>
      <w:r>
        <w:t>上1日～上30日的正、反向</w:t>
      </w:r>
      <w:r>
        <w:rPr>
          <w:rFonts w:hint="eastAsia"/>
        </w:rPr>
        <w:t>日冻结</w:t>
      </w:r>
      <w:r>
        <w:t>电碳量</w:t>
      </w:r>
      <w:r>
        <w:rPr>
          <w:rFonts w:hint="eastAsia"/>
        </w:rPr>
        <w:t>，</w:t>
      </w:r>
      <w:r>
        <w:t>单位</w:t>
      </w:r>
      <w:r>
        <w:rPr>
          <w:rFonts w:hint="eastAsia"/>
        </w:rPr>
        <w:t>宜</w:t>
      </w:r>
      <w:r>
        <w:t>为千克（kg）</w:t>
      </w:r>
      <w:r>
        <w:rPr>
          <w:rFonts w:hint="eastAsia"/>
        </w:rPr>
        <w:t>、吨（</w:t>
      </w:r>
      <w:r>
        <w:t>t</w:t>
      </w:r>
      <w:r>
        <w:rPr>
          <w:rFonts w:hint="eastAsia"/>
        </w:rPr>
        <w:t>）</w:t>
      </w:r>
      <w:r>
        <w:t>；</w:t>
      </w:r>
    </w:p>
    <w:p w14:paraId="590F2537">
      <w:pPr>
        <w:widowControl/>
        <w:numPr>
          <w:ilvl w:val="0"/>
          <w:numId w:val="11"/>
        </w:numPr>
        <w:tabs>
          <w:tab w:val="center" w:pos="4201"/>
          <w:tab w:val="right" w:leader="dot" w:pos="9298"/>
        </w:tabs>
        <w:topLinePunct/>
        <w:autoSpaceDE w:val="0"/>
        <w:autoSpaceDN w:val="0"/>
        <w:ind w:firstLine="420" w:firstLineChars="200"/>
      </w:pPr>
      <w:r>
        <w:t>上1月～上12月的正、反向</w:t>
      </w:r>
      <w:r>
        <w:rPr>
          <w:rFonts w:hint="eastAsia"/>
        </w:rPr>
        <w:t>月冻结</w:t>
      </w:r>
      <w:r>
        <w:t>电碳量</w:t>
      </w:r>
      <w:r>
        <w:rPr>
          <w:rFonts w:hint="eastAsia"/>
        </w:rPr>
        <w:t>，</w:t>
      </w:r>
      <w:r>
        <w:t>单位</w:t>
      </w:r>
      <w:r>
        <w:rPr>
          <w:rFonts w:hint="eastAsia"/>
        </w:rPr>
        <w:t>宜</w:t>
      </w:r>
      <w:r>
        <w:t>为千克（kg）</w:t>
      </w:r>
      <w:r>
        <w:rPr>
          <w:rFonts w:hint="eastAsia"/>
        </w:rPr>
        <w:t>、吨（</w:t>
      </w:r>
      <w:r>
        <w:t>t</w:t>
      </w:r>
      <w:r>
        <w:rPr>
          <w:rFonts w:hint="eastAsia"/>
        </w:rPr>
        <w:t>）。</w:t>
      </w:r>
    </w:p>
    <w:p w14:paraId="4F83C5B3">
      <w:pPr>
        <w:pStyle w:val="3"/>
        <w:ind w:left="431" w:hanging="431"/>
      </w:pPr>
      <w:bookmarkStart w:id="117" w:name="_Toc22946"/>
      <w:bookmarkStart w:id="118" w:name="_Toc20752"/>
      <w:bookmarkStart w:id="119" w:name="_Toc13794"/>
      <w:bookmarkStart w:id="120" w:name="_Toc183601210"/>
      <w:bookmarkStart w:id="121" w:name="_Toc22504"/>
      <w:r>
        <w:rPr>
          <w:rFonts w:hint="eastAsia"/>
        </w:rPr>
        <w:t>环境条件</w:t>
      </w:r>
      <w:bookmarkEnd w:id="117"/>
      <w:bookmarkEnd w:id="118"/>
      <w:bookmarkEnd w:id="119"/>
      <w:bookmarkEnd w:id="120"/>
      <w:bookmarkEnd w:id="121"/>
    </w:p>
    <w:p w14:paraId="6BB6056A">
      <w:pPr>
        <w:pStyle w:val="4"/>
        <w:ind w:left="431" w:hanging="431"/>
        <w:rPr>
          <w:rFonts w:ascii="黑体" w:hAnsi="黑体" w:eastAsia="黑体" w:cs="黑体"/>
        </w:rPr>
      </w:pPr>
      <w:bookmarkStart w:id="122" w:name="OLE_LINK3"/>
      <w:bookmarkStart w:id="123" w:name="OLE_LINK4"/>
      <w:r>
        <w:rPr>
          <w:rFonts w:hint="eastAsia" w:ascii="黑体" w:hAnsi="黑体" w:eastAsia="黑体" w:cs="黑体"/>
        </w:rPr>
        <w:t>参比条件</w:t>
      </w:r>
    </w:p>
    <w:p w14:paraId="5460884B">
      <w:pPr>
        <w:pStyle w:val="15"/>
        <w:spacing w:after="0"/>
        <w:ind w:firstLine="420" w:firstLineChars="200"/>
      </w:pPr>
      <w:r>
        <w:t>参比条件应符合GB/T 17215.211—2021中7.1的规定。</w:t>
      </w:r>
    </w:p>
    <w:p w14:paraId="41A1B0E4">
      <w:pPr>
        <w:pStyle w:val="4"/>
        <w:ind w:left="431" w:hanging="431"/>
        <w:rPr>
          <w:rFonts w:ascii="黑体" w:hAnsi="黑体" w:eastAsia="黑体" w:cs="黑体"/>
        </w:rPr>
      </w:pPr>
      <w:r>
        <w:rPr>
          <w:rFonts w:hint="eastAsia" w:ascii="黑体" w:hAnsi="黑体" w:eastAsia="黑体" w:cs="黑体"/>
        </w:rPr>
        <w:t>气候环境</w:t>
      </w:r>
    </w:p>
    <w:p w14:paraId="13EDB9EF">
      <w:pPr>
        <w:pStyle w:val="15"/>
        <w:spacing w:after="0"/>
        <w:ind w:firstLine="420" w:firstLineChars="200"/>
      </w:pPr>
      <w:r>
        <w:t>气候环境应符合GB/T 17215.211—2021中第8章的</w:t>
      </w:r>
      <w:bookmarkEnd w:id="122"/>
      <w:bookmarkEnd w:id="123"/>
      <w:r>
        <w:t>规定。</w:t>
      </w:r>
    </w:p>
    <w:p w14:paraId="7508BEA4">
      <w:pPr>
        <w:pStyle w:val="3"/>
        <w:ind w:left="431" w:hanging="431"/>
      </w:pPr>
      <w:bookmarkStart w:id="124" w:name="_Toc14589"/>
      <w:bookmarkStart w:id="125" w:name="_Toc183601211"/>
      <w:bookmarkStart w:id="126" w:name="_Toc222"/>
      <w:bookmarkStart w:id="127" w:name="_Toc12643"/>
      <w:bookmarkStart w:id="128" w:name="_Toc29347"/>
      <w:r>
        <w:rPr>
          <w:rFonts w:hint="eastAsia"/>
        </w:rPr>
        <w:t>外观和标识</w:t>
      </w:r>
      <w:bookmarkEnd w:id="124"/>
      <w:bookmarkEnd w:id="125"/>
      <w:bookmarkEnd w:id="126"/>
      <w:bookmarkEnd w:id="127"/>
      <w:bookmarkEnd w:id="128"/>
    </w:p>
    <w:p w14:paraId="2177130A">
      <w:pPr>
        <w:widowControl/>
        <w:tabs>
          <w:tab w:val="center" w:pos="4201"/>
          <w:tab w:val="right" w:leader="dot" w:pos="9298"/>
        </w:tabs>
        <w:topLinePunct/>
        <w:autoSpaceDE w:val="0"/>
        <w:autoSpaceDN w:val="0"/>
        <w:ind w:firstLine="420" w:firstLineChars="200"/>
        <w:rPr>
          <w:szCs w:val="21"/>
        </w:rPr>
      </w:pPr>
      <w:r>
        <w:t>外观和标识</w:t>
      </w:r>
      <w:r>
        <w:rPr>
          <w:szCs w:val="21"/>
        </w:rPr>
        <w:t>除应符合GB/T 17215.211—2021中第6章的</w:t>
      </w:r>
      <w:r>
        <w:t>规定</w:t>
      </w:r>
      <w:r>
        <w:rPr>
          <w:szCs w:val="21"/>
        </w:rPr>
        <w:t>外，还应标注：</w:t>
      </w:r>
    </w:p>
    <w:p w14:paraId="56C13A7B">
      <w:pPr>
        <w:widowControl/>
        <w:numPr>
          <w:ilvl w:val="0"/>
          <w:numId w:val="12"/>
        </w:numPr>
        <w:tabs>
          <w:tab w:val="center" w:pos="4201"/>
          <w:tab w:val="right" w:leader="dot" w:pos="9298"/>
        </w:tabs>
        <w:topLinePunct/>
        <w:autoSpaceDE w:val="0"/>
        <w:autoSpaceDN w:val="0"/>
        <w:ind w:firstLine="420" w:firstLineChars="200"/>
        <w:rPr>
          <w:szCs w:val="21"/>
        </w:rPr>
      </w:pPr>
      <w:r>
        <w:rPr>
          <w:rFonts w:hint="eastAsia"/>
          <w:szCs w:val="21"/>
        </w:rPr>
        <w:t>电碳因子的计量单位；</w:t>
      </w:r>
    </w:p>
    <w:p w14:paraId="5B9CC5F1">
      <w:pPr>
        <w:widowControl/>
        <w:numPr>
          <w:ilvl w:val="0"/>
          <w:numId w:val="12"/>
        </w:numPr>
        <w:tabs>
          <w:tab w:val="center" w:pos="4201"/>
          <w:tab w:val="right" w:leader="dot" w:pos="9298"/>
        </w:tabs>
        <w:topLinePunct/>
        <w:autoSpaceDE w:val="0"/>
        <w:autoSpaceDN w:val="0"/>
        <w:ind w:firstLine="420" w:firstLineChars="200"/>
        <w:rPr>
          <w:szCs w:val="21"/>
        </w:rPr>
      </w:pPr>
      <w:r>
        <w:rPr>
          <w:rFonts w:hint="eastAsia"/>
          <w:szCs w:val="21"/>
        </w:rPr>
        <w:t>电碳量的计量单位。</w:t>
      </w:r>
    </w:p>
    <w:p w14:paraId="07F12F21">
      <w:pPr>
        <w:pStyle w:val="3"/>
        <w:ind w:left="431" w:hanging="431"/>
      </w:pPr>
      <w:bookmarkStart w:id="129" w:name="_Toc183601212"/>
      <w:bookmarkStart w:id="130" w:name="_Toc16563"/>
      <w:bookmarkStart w:id="131" w:name="_Toc20633"/>
      <w:bookmarkStart w:id="132" w:name="_Toc7543"/>
      <w:r>
        <w:rPr>
          <w:rFonts w:hint="eastAsia"/>
        </w:rPr>
        <w:t>电气性能</w:t>
      </w:r>
      <w:bookmarkEnd w:id="129"/>
      <w:bookmarkEnd w:id="130"/>
      <w:bookmarkEnd w:id="131"/>
      <w:bookmarkEnd w:id="132"/>
    </w:p>
    <w:p w14:paraId="1629FF1E">
      <w:pPr>
        <w:pStyle w:val="15"/>
        <w:spacing w:after="0"/>
        <w:ind w:firstLine="420" w:firstLineChars="200"/>
      </w:pPr>
      <w:r>
        <w:t>电气性能应符合GB/T 17215.321—2021中第11章的规定。</w:t>
      </w:r>
    </w:p>
    <w:p w14:paraId="1F90C2C3">
      <w:pPr>
        <w:pStyle w:val="3"/>
        <w:ind w:left="431" w:hanging="431"/>
      </w:pPr>
      <w:bookmarkStart w:id="133" w:name="_Toc183601213"/>
      <w:bookmarkStart w:id="134" w:name="_Toc13945"/>
      <w:bookmarkStart w:id="135" w:name="_Toc11496"/>
      <w:r>
        <w:rPr>
          <w:rFonts w:hint="eastAsia"/>
        </w:rPr>
        <w:t>外部影响</w:t>
      </w:r>
      <w:bookmarkEnd w:id="133"/>
      <w:bookmarkEnd w:id="134"/>
      <w:bookmarkEnd w:id="135"/>
    </w:p>
    <w:p w14:paraId="6C0DBBB3">
      <w:pPr>
        <w:pStyle w:val="15"/>
        <w:spacing w:after="0"/>
        <w:ind w:firstLine="420" w:firstLineChars="200"/>
      </w:pPr>
      <w:r>
        <w:t xml:space="preserve">电磁兼容性与其它影响性能应符合GB/T 17215.211—2021 </w:t>
      </w:r>
      <w:r>
        <w:rPr>
          <w:rFonts w:hint="eastAsia"/>
        </w:rPr>
        <w:t>中</w:t>
      </w:r>
      <w:r>
        <w:t>第9章的规定。</w:t>
      </w:r>
    </w:p>
    <w:p w14:paraId="3F62E1C1">
      <w:pPr>
        <w:pStyle w:val="3"/>
        <w:ind w:left="431" w:hanging="431"/>
      </w:pPr>
      <w:bookmarkStart w:id="136" w:name="_Toc15020"/>
      <w:bookmarkStart w:id="137" w:name="_Toc6300"/>
      <w:bookmarkStart w:id="138" w:name="_Toc27541"/>
      <w:bookmarkStart w:id="139" w:name="_Toc29620"/>
      <w:bookmarkStart w:id="140" w:name="_Toc183601214"/>
      <w:r>
        <w:rPr>
          <w:rFonts w:hint="eastAsia"/>
        </w:rPr>
        <w:t>计量性能</w:t>
      </w:r>
      <w:bookmarkEnd w:id="136"/>
      <w:bookmarkEnd w:id="137"/>
      <w:bookmarkEnd w:id="138"/>
      <w:bookmarkEnd w:id="139"/>
      <w:bookmarkEnd w:id="140"/>
    </w:p>
    <w:p w14:paraId="39B903B8">
      <w:pPr>
        <w:pStyle w:val="4"/>
        <w:ind w:left="431" w:hanging="431"/>
        <w:rPr>
          <w:rFonts w:ascii="黑体" w:hAnsi="黑体" w:eastAsia="黑体" w:cs="黑体"/>
        </w:rPr>
      </w:pPr>
      <w:r>
        <w:rPr>
          <w:rFonts w:hint="eastAsia" w:ascii="黑体" w:hAnsi="黑体" w:eastAsia="黑体" w:cs="黑体"/>
        </w:rPr>
        <w:t>电碳计量准确度要求</w:t>
      </w:r>
    </w:p>
    <w:p w14:paraId="6A3CF10B">
      <w:pPr>
        <w:widowControl/>
        <w:adjustRightInd/>
        <w:ind w:firstLine="420" w:firstLineChars="200"/>
        <w:jc w:val="both"/>
        <w:textAlignment w:val="auto"/>
        <w:rPr>
          <w:szCs w:val="21"/>
        </w:rPr>
      </w:pPr>
      <w:r>
        <w:rPr>
          <w:rFonts w:hint="eastAsia"/>
          <w:szCs w:val="21"/>
        </w:rPr>
        <w:t>当电碳计量设备工作</w:t>
      </w:r>
      <w:r>
        <w:rPr>
          <w:szCs w:val="21"/>
        </w:rPr>
        <w:t>在5.2.1规定</w:t>
      </w:r>
      <w:r>
        <w:rPr>
          <w:rFonts w:hint="eastAsia"/>
          <w:szCs w:val="21"/>
        </w:rPr>
        <w:t>的参比</w:t>
      </w:r>
      <w:r>
        <w:rPr>
          <w:szCs w:val="21"/>
        </w:rPr>
        <w:t>条件下，</w:t>
      </w:r>
      <w:r>
        <w:rPr>
          <w:rFonts w:hint="eastAsia"/>
          <w:szCs w:val="21"/>
        </w:rPr>
        <w:t>由电流和功率因数在表1给出的范围内改变引起的百分数误差不应超过表1中给定的相应准确度等级的极限。</w:t>
      </w:r>
    </w:p>
    <w:p w14:paraId="174DEF75">
      <w:pPr>
        <w:jc w:val="center"/>
      </w:pPr>
      <w:r>
        <w:rPr>
          <w:rFonts w:hint="eastAsia"/>
        </w:rPr>
        <w:t>表1 百分数误差极限</w:t>
      </w:r>
    </w:p>
    <w:tbl>
      <w:tblPr>
        <w:tblStyle w:val="3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2531"/>
        <w:gridCol w:w="2154"/>
        <w:gridCol w:w="2154"/>
      </w:tblGrid>
      <w:tr w14:paraId="6ABE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989" w:type="pct"/>
            <w:vMerge w:val="restart"/>
            <w:vAlign w:val="center"/>
          </w:tcPr>
          <w:p w14:paraId="21961605">
            <w:pPr>
              <w:spacing w:line="0" w:lineRule="atLeast"/>
              <w:jc w:val="center"/>
              <w:rPr>
                <w:color w:val="000000"/>
                <w:szCs w:val="21"/>
              </w:rPr>
            </w:pPr>
            <w:r>
              <w:t>电流值</w:t>
            </w:r>
          </w:p>
        </w:tc>
        <w:tc>
          <w:tcPr>
            <w:tcW w:w="1484" w:type="pct"/>
            <w:vMerge w:val="restart"/>
            <w:vAlign w:val="center"/>
          </w:tcPr>
          <w:p w14:paraId="56375CB0">
            <w:pPr>
              <w:spacing w:line="0" w:lineRule="atLeast"/>
              <w:jc w:val="center"/>
              <w:rPr>
                <w:color w:val="000000"/>
                <w:szCs w:val="21"/>
              </w:rPr>
            </w:pPr>
            <w:r>
              <w:t>功率因数</w:t>
            </w:r>
          </w:p>
        </w:tc>
        <w:tc>
          <w:tcPr>
            <w:tcW w:w="2526" w:type="pct"/>
            <w:gridSpan w:val="2"/>
            <w:vAlign w:val="center"/>
          </w:tcPr>
          <w:p w14:paraId="5AD9DF03">
            <w:pPr>
              <w:spacing w:line="0" w:lineRule="atLeast"/>
              <w:jc w:val="center"/>
              <w:rPr>
                <w:color w:val="000000"/>
                <w:szCs w:val="21"/>
              </w:rPr>
            </w:pPr>
            <w:r>
              <w:rPr>
                <w:rFonts w:hint="eastAsia"/>
                <w:color w:val="000000"/>
                <w:szCs w:val="21"/>
              </w:rPr>
              <w:t>准确度等级对应的误差限值/%</w:t>
            </w:r>
          </w:p>
        </w:tc>
      </w:tr>
      <w:tr w14:paraId="3FA9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989" w:type="pct"/>
            <w:vMerge w:val="continue"/>
            <w:vAlign w:val="center"/>
          </w:tcPr>
          <w:p w14:paraId="508856BA">
            <w:pPr>
              <w:spacing w:line="0" w:lineRule="atLeast"/>
              <w:jc w:val="center"/>
            </w:pPr>
          </w:p>
        </w:tc>
        <w:tc>
          <w:tcPr>
            <w:tcW w:w="1484" w:type="pct"/>
            <w:vMerge w:val="continue"/>
            <w:vAlign w:val="center"/>
          </w:tcPr>
          <w:p w14:paraId="1063084A">
            <w:pPr>
              <w:spacing w:line="0" w:lineRule="atLeast"/>
              <w:jc w:val="center"/>
            </w:pPr>
          </w:p>
        </w:tc>
        <w:tc>
          <w:tcPr>
            <w:tcW w:w="1263" w:type="pct"/>
            <w:vAlign w:val="center"/>
          </w:tcPr>
          <w:p w14:paraId="47965DFA">
            <w:pPr>
              <w:spacing w:line="0" w:lineRule="atLeast"/>
              <w:jc w:val="center"/>
              <w:rPr>
                <w:color w:val="000000"/>
                <w:szCs w:val="21"/>
              </w:rPr>
            </w:pPr>
            <w:r>
              <w:rPr>
                <w:rFonts w:hint="eastAsia"/>
                <w:color w:val="000000"/>
                <w:szCs w:val="21"/>
              </w:rPr>
              <w:t>1</w:t>
            </w:r>
          </w:p>
        </w:tc>
        <w:tc>
          <w:tcPr>
            <w:tcW w:w="1263" w:type="pct"/>
            <w:vAlign w:val="center"/>
          </w:tcPr>
          <w:p w14:paraId="77CE2FA3">
            <w:pPr>
              <w:spacing w:line="0" w:lineRule="atLeast"/>
              <w:jc w:val="center"/>
              <w:rPr>
                <w:color w:val="000000"/>
                <w:szCs w:val="21"/>
              </w:rPr>
            </w:pPr>
            <w:r>
              <w:rPr>
                <w:rFonts w:hint="eastAsia"/>
                <w:color w:val="000000"/>
                <w:szCs w:val="21"/>
              </w:rPr>
              <w:t>2</w:t>
            </w:r>
          </w:p>
        </w:tc>
      </w:tr>
      <w:tr w14:paraId="7A89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989" w:type="pct"/>
            <w:vMerge w:val="restart"/>
            <w:vAlign w:val="center"/>
          </w:tcPr>
          <w:p w14:paraId="4328B63C">
            <w:pPr>
              <w:spacing w:line="0" w:lineRule="atLeast"/>
              <w:jc w:val="center"/>
            </w:pPr>
            <w:r>
              <w:rPr>
                <w:i/>
              </w:rPr>
              <w:t>I</w:t>
            </w:r>
            <w:r>
              <w:rPr>
                <w:iCs/>
                <w:vertAlign w:val="subscript"/>
              </w:rPr>
              <w:t>tr</w:t>
            </w:r>
            <w:r>
              <w:rPr>
                <w:rFonts w:hint="eastAsia"/>
                <w:i/>
              </w:rPr>
              <w:t>≤I≤</w:t>
            </w:r>
            <w:r>
              <w:rPr>
                <w:i/>
              </w:rPr>
              <w:t>I</w:t>
            </w:r>
            <w:r>
              <w:rPr>
                <w:rFonts w:hint="eastAsia"/>
                <w:iCs/>
                <w:vertAlign w:val="subscript"/>
              </w:rPr>
              <w:t>max</w:t>
            </w:r>
          </w:p>
        </w:tc>
        <w:tc>
          <w:tcPr>
            <w:tcW w:w="1484" w:type="pct"/>
            <w:vAlign w:val="center"/>
          </w:tcPr>
          <w:p w14:paraId="7FE989AC">
            <w:pPr>
              <w:spacing w:line="0" w:lineRule="atLeast"/>
              <w:jc w:val="center"/>
            </w:pPr>
            <w:r>
              <w:rPr>
                <w:rFonts w:hint="eastAsia"/>
              </w:rPr>
              <w:t>1</w:t>
            </w:r>
          </w:p>
        </w:tc>
        <w:tc>
          <w:tcPr>
            <w:tcW w:w="1263" w:type="pct"/>
            <w:vAlign w:val="center"/>
          </w:tcPr>
          <w:p w14:paraId="688C1C4F">
            <w:pPr>
              <w:spacing w:line="0" w:lineRule="atLeast"/>
              <w:jc w:val="center"/>
              <w:rPr>
                <w:color w:val="000000"/>
                <w:szCs w:val="21"/>
              </w:rPr>
            </w:pPr>
            <w:r>
              <w:rPr>
                <w:rFonts w:hint="eastAsia"/>
                <w:color w:val="000000"/>
                <w:szCs w:val="21"/>
              </w:rPr>
              <w:t>±1.0</w:t>
            </w:r>
          </w:p>
        </w:tc>
        <w:tc>
          <w:tcPr>
            <w:tcW w:w="1263" w:type="pct"/>
            <w:vAlign w:val="center"/>
          </w:tcPr>
          <w:p w14:paraId="7A5BE8A1">
            <w:pPr>
              <w:spacing w:line="0" w:lineRule="atLeast"/>
              <w:jc w:val="center"/>
              <w:rPr>
                <w:color w:val="000000"/>
                <w:szCs w:val="21"/>
              </w:rPr>
            </w:pPr>
            <w:r>
              <w:rPr>
                <w:rFonts w:hint="eastAsia"/>
                <w:color w:val="000000"/>
                <w:szCs w:val="21"/>
              </w:rPr>
              <w:t>±2.0</w:t>
            </w:r>
          </w:p>
        </w:tc>
      </w:tr>
      <w:tr w14:paraId="2EF6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989" w:type="pct"/>
            <w:vMerge w:val="continue"/>
            <w:vAlign w:val="center"/>
          </w:tcPr>
          <w:p w14:paraId="7E9EFB14">
            <w:pPr>
              <w:spacing w:line="0" w:lineRule="atLeast"/>
              <w:jc w:val="center"/>
              <w:rPr>
                <w:i/>
              </w:rPr>
            </w:pPr>
          </w:p>
        </w:tc>
        <w:tc>
          <w:tcPr>
            <w:tcW w:w="1484" w:type="pct"/>
            <w:vAlign w:val="center"/>
          </w:tcPr>
          <w:p w14:paraId="099AA371">
            <w:pPr>
              <w:spacing w:line="0" w:lineRule="atLeast"/>
              <w:jc w:val="center"/>
            </w:pPr>
            <w:r>
              <w:rPr>
                <w:rFonts w:hint="eastAsia"/>
              </w:rPr>
              <w:t>0.5L到1到0.8C</w:t>
            </w:r>
          </w:p>
        </w:tc>
        <w:tc>
          <w:tcPr>
            <w:tcW w:w="1263" w:type="pct"/>
            <w:vAlign w:val="center"/>
          </w:tcPr>
          <w:p w14:paraId="053F7FD7">
            <w:pPr>
              <w:spacing w:line="0" w:lineRule="atLeast"/>
              <w:jc w:val="center"/>
              <w:rPr>
                <w:color w:val="000000"/>
                <w:szCs w:val="21"/>
              </w:rPr>
            </w:pPr>
            <w:r>
              <w:rPr>
                <w:rFonts w:hint="eastAsia"/>
                <w:color w:val="000000"/>
                <w:szCs w:val="21"/>
              </w:rPr>
              <w:t>±1.0</w:t>
            </w:r>
          </w:p>
        </w:tc>
        <w:tc>
          <w:tcPr>
            <w:tcW w:w="1263" w:type="pct"/>
            <w:vAlign w:val="center"/>
          </w:tcPr>
          <w:p w14:paraId="346ABB18">
            <w:pPr>
              <w:spacing w:line="0" w:lineRule="atLeast"/>
              <w:jc w:val="center"/>
              <w:rPr>
                <w:color w:val="000000"/>
                <w:szCs w:val="21"/>
              </w:rPr>
            </w:pPr>
            <w:r>
              <w:rPr>
                <w:rFonts w:hint="eastAsia"/>
                <w:color w:val="000000"/>
                <w:szCs w:val="21"/>
              </w:rPr>
              <w:t>±2.0</w:t>
            </w:r>
          </w:p>
        </w:tc>
      </w:tr>
      <w:tr w14:paraId="3F03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989" w:type="pct"/>
            <w:vMerge w:val="restart"/>
            <w:vAlign w:val="center"/>
          </w:tcPr>
          <w:p w14:paraId="3D246024">
            <w:pPr>
              <w:spacing w:line="0" w:lineRule="atLeast"/>
              <w:jc w:val="center"/>
              <w:rPr>
                <w:i/>
              </w:rPr>
            </w:pPr>
            <w:r>
              <w:rPr>
                <w:i/>
              </w:rPr>
              <w:t>I</w:t>
            </w:r>
            <w:r>
              <w:rPr>
                <w:rFonts w:hint="eastAsia"/>
                <w:iCs/>
                <w:vertAlign w:val="subscript"/>
              </w:rPr>
              <w:t>min</w:t>
            </w:r>
            <w:r>
              <w:rPr>
                <w:rFonts w:hint="eastAsia"/>
                <w:i/>
              </w:rPr>
              <w:t>≤I≤</w:t>
            </w:r>
            <w:r>
              <w:rPr>
                <w:i/>
              </w:rPr>
              <w:t>I</w:t>
            </w:r>
            <w:r>
              <w:rPr>
                <w:rFonts w:hint="eastAsia"/>
                <w:vertAlign w:val="subscript"/>
              </w:rPr>
              <w:t>tr</w:t>
            </w:r>
          </w:p>
        </w:tc>
        <w:tc>
          <w:tcPr>
            <w:tcW w:w="1484" w:type="pct"/>
            <w:vAlign w:val="center"/>
          </w:tcPr>
          <w:p w14:paraId="28D67165">
            <w:pPr>
              <w:spacing w:line="0" w:lineRule="atLeast"/>
              <w:jc w:val="center"/>
            </w:pPr>
            <w:r>
              <w:rPr>
                <w:rFonts w:hint="eastAsia"/>
              </w:rPr>
              <w:t>1</w:t>
            </w:r>
          </w:p>
        </w:tc>
        <w:tc>
          <w:tcPr>
            <w:tcW w:w="1263" w:type="pct"/>
            <w:vAlign w:val="center"/>
          </w:tcPr>
          <w:p w14:paraId="54402080">
            <w:pPr>
              <w:spacing w:line="0" w:lineRule="atLeast"/>
              <w:jc w:val="center"/>
              <w:rPr>
                <w:color w:val="000000"/>
                <w:szCs w:val="21"/>
              </w:rPr>
            </w:pPr>
            <w:r>
              <w:rPr>
                <w:rFonts w:hint="eastAsia"/>
                <w:color w:val="000000"/>
                <w:szCs w:val="21"/>
              </w:rPr>
              <w:t>±1.5</w:t>
            </w:r>
          </w:p>
        </w:tc>
        <w:tc>
          <w:tcPr>
            <w:tcW w:w="1263" w:type="pct"/>
            <w:vAlign w:val="center"/>
          </w:tcPr>
          <w:p w14:paraId="40F8C91C">
            <w:pPr>
              <w:spacing w:line="0" w:lineRule="atLeast"/>
              <w:jc w:val="center"/>
              <w:rPr>
                <w:color w:val="000000"/>
                <w:szCs w:val="21"/>
              </w:rPr>
            </w:pPr>
            <w:r>
              <w:rPr>
                <w:rFonts w:hint="eastAsia"/>
                <w:color w:val="000000"/>
                <w:szCs w:val="21"/>
              </w:rPr>
              <w:t>±2.5</w:t>
            </w:r>
          </w:p>
        </w:tc>
      </w:tr>
      <w:tr w14:paraId="1C66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989" w:type="pct"/>
            <w:vMerge w:val="continue"/>
            <w:vAlign w:val="center"/>
          </w:tcPr>
          <w:p w14:paraId="3923A0B2">
            <w:pPr>
              <w:spacing w:line="0" w:lineRule="atLeast"/>
              <w:jc w:val="center"/>
              <w:rPr>
                <w:i/>
              </w:rPr>
            </w:pPr>
          </w:p>
        </w:tc>
        <w:tc>
          <w:tcPr>
            <w:tcW w:w="1484" w:type="pct"/>
            <w:vAlign w:val="center"/>
          </w:tcPr>
          <w:p w14:paraId="29280C3A">
            <w:pPr>
              <w:spacing w:line="0" w:lineRule="atLeast"/>
              <w:jc w:val="center"/>
            </w:pPr>
            <w:r>
              <w:rPr>
                <w:rFonts w:hint="eastAsia"/>
              </w:rPr>
              <w:t>0.5L到1到0.8C</w:t>
            </w:r>
          </w:p>
        </w:tc>
        <w:tc>
          <w:tcPr>
            <w:tcW w:w="1263" w:type="pct"/>
            <w:vAlign w:val="center"/>
          </w:tcPr>
          <w:p w14:paraId="1AC3D1AE">
            <w:pPr>
              <w:spacing w:line="0" w:lineRule="atLeast"/>
              <w:jc w:val="center"/>
              <w:rPr>
                <w:color w:val="000000"/>
                <w:szCs w:val="21"/>
              </w:rPr>
            </w:pPr>
            <w:r>
              <w:rPr>
                <w:rFonts w:hint="eastAsia"/>
                <w:color w:val="000000"/>
                <w:szCs w:val="21"/>
              </w:rPr>
              <w:t>±1.5</w:t>
            </w:r>
          </w:p>
        </w:tc>
        <w:tc>
          <w:tcPr>
            <w:tcW w:w="1263" w:type="pct"/>
            <w:vAlign w:val="center"/>
          </w:tcPr>
          <w:p w14:paraId="63224979">
            <w:pPr>
              <w:spacing w:line="0" w:lineRule="atLeast"/>
              <w:jc w:val="center"/>
              <w:rPr>
                <w:color w:val="000000"/>
                <w:szCs w:val="21"/>
              </w:rPr>
            </w:pPr>
            <w:r>
              <w:rPr>
                <w:rFonts w:hint="eastAsia"/>
                <w:color w:val="000000"/>
                <w:szCs w:val="21"/>
              </w:rPr>
              <w:t>±2.5</w:t>
            </w:r>
          </w:p>
        </w:tc>
      </w:tr>
    </w:tbl>
    <w:p w14:paraId="217BEBF4">
      <w:pPr>
        <w:pStyle w:val="4"/>
        <w:ind w:left="431" w:hanging="431"/>
        <w:rPr>
          <w:rFonts w:ascii="黑体" w:hAnsi="黑体" w:eastAsia="黑体" w:cs="黑体"/>
        </w:rPr>
      </w:pPr>
      <w:bookmarkStart w:id="141" w:name="_Toc7152"/>
      <w:bookmarkStart w:id="142" w:name="_Toc183601217"/>
      <w:r>
        <w:rPr>
          <w:rFonts w:hint="eastAsia" w:ascii="黑体" w:hAnsi="黑体" w:eastAsia="黑体" w:cs="黑体"/>
        </w:rPr>
        <w:t>计时准确度要求</w:t>
      </w:r>
      <w:bookmarkEnd w:id="141"/>
      <w:bookmarkEnd w:id="142"/>
    </w:p>
    <w:p w14:paraId="12008AFD">
      <w:pPr>
        <w:ind w:firstLine="420" w:firstLineChars="200"/>
      </w:pPr>
      <w:r>
        <w:t>计时准确度应符合GB/T 17215.211</w:t>
      </w:r>
      <w:r>
        <w:rPr>
          <w:szCs w:val="21"/>
        </w:rPr>
        <w:t>—</w:t>
      </w:r>
      <w:r>
        <w:t>2021中7.13中的规定。</w:t>
      </w:r>
    </w:p>
    <w:p w14:paraId="0DD4BF13">
      <w:pPr>
        <w:pStyle w:val="3"/>
        <w:ind w:left="431" w:hanging="431"/>
      </w:pPr>
      <w:bookmarkStart w:id="143" w:name="_Toc183601215"/>
      <w:bookmarkStart w:id="144" w:name="_Toc22970"/>
      <w:bookmarkStart w:id="145" w:name="_Toc848"/>
      <w:r>
        <w:rPr>
          <w:rFonts w:hint="eastAsia"/>
        </w:rPr>
        <w:t>功能</w:t>
      </w:r>
      <w:bookmarkEnd w:id="143"/>
      <w:r>
        <w:rPr>
          <w:rFonts w:hint="eastAsia"/>
        </w:rPr>
        <w:t>要求</w:t>
      </w:r>
      <w:bookmarkEnd w:id="144"/>
      <w:bookmarkEnd w:id="145"/>
    </w:p>
    <w:p w14:paraId="332BA5CA">
      <w:pPr>
        <w:pStyle w:val="4"/>
        <w:ind w:left="431" w:hanging="431"/>
        <w:rPr>
          <w:rFonts w:ascii="黑体" w:hAnsi="黑体" w:eastAsia="黑体" w:cs="黑体"/>
        </w:rPr>
      </w:pPr>
      <w:r>
        <w:rPr>
          <w:rFonts w:hint="eastAsia" w:ascii="黑体" w:hAnsi="黑体" w:eastAsia="黑体" w:cs="黑体"/>
        </w:rPr>
        <w:t>数据存储要求</w:t>
      </w:r>
    </w:p>
    <w:p w14:paraId="01ECA417">
      <w:pPr>
        <w:pStyle w:val="15"/>
        <w:spacing w:after="0"/>
        <w:ind w:firstLine="420" w:firstLineChars="200"/>
        <w:jc w:val="both"/>
      </w:pPr>
      <w:r>
        <w:t>应能</w:t>
      </w:r>
      <w:r>
        <w:rPr>
          <w:rFonts w:hint="eastAsia"/>
        </w:rPr>
        <w:t>存储以下数据</w:t>
      </w:r>
      <w:r>
        <w:t>：</w:t>
      </w:r>
    </w:p>
    <w:p w14:paraId="68BA7174">
      <w:pPr>
        <w:pStyle w:val="15"/>
        <w:numPr>
          <w:ilvl w:val="0"/>
          <w:numId w:val="13"/>
        </w:numPr>
        <w:spacing w:after="0"/>
        <w:ind w:firstLine="420" w:firstLineChars="200"/>
        <w:jc w:val="both"/>
      </w:pPr>
      <w:r>
        <w:rPr>
          <w:rFonts w:hint="eastAsia"/>
        </w:rPr>
        <w:t>存储</w:t>
      </w:r>
      <w:r>
        <w:t>上1日~上30日的正、反向</w:t>
      </w:r>
      <w:r>
        <w:rPr>
          <w:rFonts w:hint="eastAsia"/>
        </w:rPr>
        <w:t>日冻结</w:t>
      </w:r>
      <w:r>
        <w:t>电碳量；</w:t>
      </w:r>
    </w:p>
    <w:p w14:paraId="166D8B71">
      <w:pPr>
        <w:pStyle w:val="15"/>
        <w:numPr>
          <w:ilvl w:val="0"/>
          <w:numId w:val="13"/>
        </w:numPr>
        <w:spacing w:after="0"/>
        <w:ind w:firstLine="420" w:firstLineChars="200"/>
      </w:pPr>
      <w:r>
        <w:t>存储上1月~上12月的正、反向</w:t>
      </w:r>
      <w:r>
        <w:rPr>
          <w:rFonts w:hint="eastAsia"/>
        </w:rPr>
        <w:t>月冻结</w:t>
      </w:r>
      <w:r>
        <w:t>电碳量；</w:t>
      </w:r>
    </w:p>
    <w:p w14:paraId="2374A1FA">
      <w:pPr>
        <w:pStyle w:val="15"/>
        <w:numPr>
          <w:ilvl w:val="0"/>
          <w:numId w:val="13"/>
        </w:numPr>
        <w:spacing w:after="0"/>
        <w:ind w:firstLine="420" w:firstLineChars="200"/>
      </w:pPr>
      <w:r>
        <w:t>存储</w:t>
      </w:r>
      <w:r>
        <w:rPr>
          <w:rFonts w:hint="eastAsia"/>
        </w:rPr>
        <w:t>上</w:t>
      </w:r>
      <w:r>
        <w:t>1</w:t>
      </w:r>
      <w:r>
        <w:rPr>
          <w:rFonts w:hint="eastAsia"/>
        </w:rPr>
        <w:t>日</w:t>
      </w:r>
      <w:r>
        <w:t>96</w:t>
      </w:r>
      <w:r>
        <w:rPr>
          <w:rFonts w:hint="eastAsia"/>
        </w:rPr>
        <w:t>区间电碳量增量和上</w:t>
      </w:r>
      <w:r>
        <w:t>1</w:t>
      </w:r>
      <w:r>
        <w:rPr>
          <w:rFonts w:hint="eastAsia"/>
        </w:rPr>
        <w:t>日电碳量增量；</w:t>
      </w:r>
    </w:p>
    <w:p w14:paraId="181D0B6D">
      <w:pPr>
        <w:pStyle w:val="15"/>
        <w:numPr>
          <w:ilvl w:val="0"/>
          <w:numId w:val="13"/>
        </w:numPr>
        <w:spacing w:after="0"/>
        <w:ind w:firstLine="420" w:firstLineChars="200"/>
        <w:jc w:val="both"/>
      </w:pPr>
      <w:r>
        <w:rPr>
          <w:rFonts w:hint="eastAsia"/>
        </w:rPr>
        <w:t>存储</w:t>
      </w:r>
      <w:r>
        <w:t>365日的电碳因子</w:t>
      </w:r>
      <w:r>
        <w:rPr>
          <w:rFonts w:hint="eastAsia"/>
        </w:rPr>
        <w:t>和电碳量</w:t>
      </w:r>
      <w:r>
        <w:t>。</w:t>
      </w:r>
    </w:p>
    <w:p w14:paraId="24A00D2C">
      <w:pPr>
        <w:pStyle w:val="4"/>
        <w:ind w:left="431" w:hanging="431"/>
        <w:rPr>
          <w:rFonts w:ascii="黑体" w:hAnsi="黑体" w:eastAsia="黑体" w:cs="黑体"/>
        </w:rPr>
      </w:pPr>
      <w:bookmarkStart w:id="146" w:name="_Toc183601216"/>
      <w:bookmarkStart w:id="147" w:name="_Toc21037"/>
      <w:r>
        <w:rPr>
          <w:rFonts w:hint="eastAsia" w:ascii="黑体" w:hAnsi="黑体" w:eastAsia="黑体" w:cs="黑体"/>
        </w:rPr>
        <w:t>通信要求</w:t>
      </w:r>
      <w:bookmarkEnd w:id="146"/>
      <w:bookmarkEnd w:id="147"/>
    </w:p>
    <w:p w14:paraId="220BA336">
      <w:pPr>
        <w:pStyle w:val="49"/>
        <w:tabs>
          <w:tab w:val="center" w:pos="4201"/>
          <w:tab w:val="right" w:leader="dot" w:pos="9298"/>
        </w:tabs>
        <w:adjustRightInd w:val="0"/>
        <w:ind w:firstLine="420"/>
        <w:jc w:val="left"/>
        <w:textAlignment w:val="center"/>
        <w:rPr>
          <w:rFonts w:ascii="Times New Roman"/>
        </w:rPr>
      </w:pPr>
      <w:r>
        <w:rPr>
          <w:rFonts w:ascii="Times New Roman"/>
        </w:rPr>
        <w:t>应能与</w:t>
      </w:r>
      <w:r>
        <w:rPr>
          <w:rFonts w:hint="eastAsia" w:ascii="Times New Roman"/>
        </w:rPr>
        <w:t>电碳计量</w:t>
      </w:r>
      <w:r>
        <w:rPr>
          <w:rFonts w:ascii="Times New Roman"/>
        </w:rPr>
        <w:t>系统通信，</w:t>
      </w:r>
      <w:r>
        <w:rPr>
          <w:rFonts w:hint="eastAsia" w:ascii="Times New Roman"/>
        </w:rPr>
        <w:t>并支持以下功能</w:t>
      </w:r>
      <w:r>
        <w:rPr>
          <w:rFonts w:ascii="Times New Roman"/>
        </w:rPr>
        <w:t>：</w:t>
      </w:r>
    </w:p>
    <w:p w14:paraId="312837CC">
      <w:pPr>
        <w:pStyle w:val="49"/>
        <w:numPr>
          <w:ilvl w:val="0"/>
          <w:numId w:val="14"/>
        </w:numPr>
        <w:tabs>
          <w:tab w:val="center" w:pos="4201"/>
          <w:tab w:val="right" w:leader="dot" w:pos="9298"/>
        </w:tabs>
        <w:adjustRightInd w:val="0"/>
        <w:ind w:firstLine="420"/>
        <w:jc w:val="left"/>
        <w:textAlignment w:val="center"/>
        <w:rPr>
          <w:rFonts w:ascii="Times New Roman"/>
        </w:rPr>
      </w:pPr>
      <w:r>
        <w:rPr>
          <w:rFonts w:hint="eastAsia" w:ascii="Times New Roman"/>
        </w:rPr>
        <w:t>宜支持按1</w:t>
      </w:r>
      <w:r>
        <w:rPr>
          <w:rFonts w:ascii="Times New Roman"/>
        </w:rPr>
        <w:t>5分钟</w:t>
      </w:r>
      <w:r>
        <w:rPr>
          <w:rFonts w:hint="eastAsia" w:ascii="Times New Roman"/>
        </w:rPr>
        <w:t>间隔接收系统下发的</w:t>
      </w:r>
      <w:r>
        <w:rPr>
          <w:rFonts w:ascii="Times New Roman"/>
        </w:rPr>
        <w:t>电碳因子</w:t>
      </w:r>
      <w:r>
        <w:rPr>
          <w:rFonts w:hint="eastAsia" w:ascii="Times New Roman"/>
        </w:rPr>
        <w:t>；</w:t>
      </w:r>
    </w:p>
    <w:p w14:paraId="3DE745BE">
      <w:pPr>
        <w:pStyle w:val="49"/>
        <w:numPr>
          <w:ilvl w:val="0"/>
          <w:numId w:val="14"/>
        </w:numPr>
        <w:tabs>
          <w:tab w:val="center" w:pos="4201"/>
          <w:tab w:val="right" w:leader="dot" w:pos="9298"/>
        </w:tabs>
        <w:adjustRightInd w:val="0"/>
        <w:ind w:firstLine="420"/>
        <w:jc w:val="left"/>
        <w:textAlignment w:val="center"/>
        <w:rPr>
          <w:rFonts w:ascii="Times New Roman"/>
        </w:rPr>
      </w:pPr>
      <w:r>
        <w:rPr>
          <w:rFonts w:hint="eastAsia" w:hAnsi="宋体"/>
        </w:rPr>
        <w:t>应支持</w:t>
      </w:r>
      <w:r>
        <w:rPr>
          <w:rFonts w:hint="eastAsia"/>
        </w:rPr>
        <w:t>日冻结</w:t>
      </w:r>
      <w:r>
        <w:t>电碳量和</w:t>
      </w:r>
      <w:r>
        <w:rPr>
          <w:rFonts w:hint="eastAsia"/>
        </w:rPr>
        <w:t>月冻结</w:t>
      </w:r>
      <w:r>
        <w:t>电碳量数据上送</w:t>
      </w:r>
      <w:r>
        <w:rPr>
          <w:rFonts w:hint="eastAsia"/>
        </w:rPr>
        <w:t>至系统。</w:t>
      </w:r>
    </w:p>
    <w:p w14:paraId="334AB7FB">
      <w:pPr>
        <w:pStyle w:val="2"/>
        <w:spacing w:beforeLines="0" w:afterLines="0"/>
        <w:ind w:left="431" w:hanging="431"/>
      </w:pPr>
      <w:bookmarkStart w:id="148" w:name="_Toc21958"/>
      <w:r>
        <w:rPr>
          <w:rFonts w:hint="eastAsia"/>
        </w:rPr>
        <w:t>试验方法</w:t>
      </w:r>
      <w:bookmarkEnd w:id="148"/>
    </w:p>
    <w:p w14:paraId="355FA359">
      <w:pPr>
        <w:pStyle w:val="3"/>
        <w:ind w:left="431" w:hanging="431"/>
      </w:pPr>
      <w:bookmarkStart w:id="149" w:name="_Toc183601220"/>
      <w:bookmarkStart w:id="150" w:name="_Toc5362"/>
      <w:bookmarkStart w:id="151" w:name="_Toc8828"/>
      <w:r>
        <w:rPr>
          <w:rFonts w:hint="eastAsia"/>
        </w:rPr>
        <w:t>机械性能试验</w:t>
      </w:r>
      <w:bookmarkEnd w:id="149"/>
      <w:bookmarkEnd w:id="150"/>
      <w:bookmarkEnd w:id="151"/>
    </w:p>
    <w:p w14:paraId="64F96D3B">
      <w:pPr>
        <w:topLinePunct/>
        <w:ind w:firstLine="420" w:firstLineChars="200"/>
        <w:jc w:val="both"/>
        <w:rPr>
          <w:szCs w:val="21"/>
        </w:rPr>
      </w:pPr>
      <w:r>
        <w:rPr>
          <w:szCs w:val="21"/>
        </w:rPr>
        <w:t>应</w:t>
      </w:r>
      <w:r>
        <w:rPr>
          <w:rFonts w:hint="eastAsia"/>
          <w:szCs w:val="21"/>
        </w:rPr>
        <w:t>按照</w:t>
      </w:r>
      <w:r>
        <w:rPr>
          <w:szCs w:val="21"/>
        </w:rPr>
        <w:t>GB/T 17215.321—2021中5.2的</w:t>
      </w:r>
      <w:r>
        <w:rPr>
          <w:rFonts w:hint="eastAsia"/>
          <w:szCs w:val="21"/>
        </w:rPr>
        <w:t>要求开展</w:t>
      </w:r>
      <w:r>
        <w:rPr>
          <w:szCs w:val="21"/>
        </w:rPr>
        <w:t>。</w:t>
      </w:r>
    </w:p>
    <w:p w14:paraId="233219A8">
      <w:pPr>
        <w:pStyle w:val="3"/>
        <w:ind w:left="431" w:hanging="431"/>
      </w:pPr>
      <w:bookmarkStart w:id="152" w:name="_Toc17529"/>
      <w:bookmarkStart w:id="153" w:name="_Toc183601221"/>
      <w:bookmarkStart w:id="154" w:name="_Toc32071"/>
      <w:r>
        <w:rPr>
          <w:rFonts w:hint="eastAsia"/>
        </w:rPr>
        <w:t>气候环境影响试验</w:t>
      </w:r>
      <w:bookmarkEnd w:id="152"/>
      <w:bookmarkEnd w:id="153"/>
      <w:bookmarkEnd w:id="154"/>
    </w:p>
    <w:p w14:paraId="39A283D8">
      <w:pPr>
        <w:ind w:firstLine="420" w:firstLineChars="200"/>
        <w:jc w:val="both"/>
      </w:pPr>
      <w:r>
        <w:rPr>
          <w:szCs w:val="21"/>
        </w:rPr>
        <w:t>应</w:t>
      </w:r>
      <w:r>
        <w:rPr>
          <w:rFonts w:hint="eastAsia"/>
          <w:szCs w:val="21"/>
        </w:rPr>
        <w:t>按照</w:t>
      </w:r>
      <w:r>
        <w:rPr>
          <w:szCs w:val="21"/>
        </w:rPr>
        <w:t>GB/T 17215.211—2021第8章的</w:t>
      </w:r>
      <w:r>
        <w:rPr>
          <w:rFonts w:hint="eastAsia"/>
          <w:szCs w:val="21"/>
        </w:rPr>
        <w:t>要求开展</w:t>
      </w:r>
      <w:r>
        <w:rPr>
          <w:szCs w:val="21"/>
        </w:rPr>
        <w:t>。</w:t>
      </w:r>
    </w:p>
    <w:p w14:paraId="25934363">
      <w:pPr>
        <w:pStyle w:val="3"/>
        <w:ind w:left="431" w:hanging="431"/>
      </w:pPr>
      <w:bookmarkStart w:id="155" w:name="_Toc10734"/>
      <w:bookmarkStart w:id="156" w:name="_Toc31924"/>
      <w:bookmarkStart w:id="157" w:name="_Toc183601222"/>
      <w:r>
        <w:rPr>
          <w:rFonts w:hint="eastAsia"/>
        </w:rPr>
        <w:t>外观和标识检查</w:t>
      </w:r>
      <w:bookmarkEnd w:id="155"/>
      <w:bookmarkEnd w:id="156"/>
      <w:bookmarkEnd w:id="157"/>
    </w:p>
    <w:p w14:paraId="49F2648D">
      <w:pPr>
        <w:ind w:firstLine="420"/>
      </w:pPr>
      <w:r>
        <w:t>采用目测法</w:t>
      </w:r>
      <w:r>
        <w:rPr>
          <w:rFonts w:hint="eastAsia"/>
        </w:rPr>
        <w:t>验证，</w:t>
      </w:r>
      <w:r>
        <w:t>应符合</w:t>
      </w:r>
      <w:r>
        <w:rPr>
          <w:rFonts w:hint="eastAsia"/>
        </w:rPr>
        <w:t>5.3</w:t>
      </w:r>
      <w:r>
        <w:t>的要求</w:t>
      </w:r>
      <w:r>
        <w:rPr>
          <w:rFonts w:hint="eastAsia"/>
        </w:rPr>
        <w:t>。</w:t>
      </w:r>
    </w:p>
    <w:p w14:paraId="4AF68A49">
      <w:pPr>
        <w:pStyle w:val="3"/>
        <w:ind w:left="431" w:hanging="431"/>
      </w:pPr>
      <w:bookmarkStart w:id="158" w:name="_Toc5572"/>
      <w:bookmarkStart w:id="159" w:name="_Toc21331"/>
      <w:bookmarkStart w:id="160" w:name="_Toc183601223"/>
      <w:r>
        <w:rPr>
          <w:rFonts w:hint="eastAsia"/>
        </w:rPr>
        <w:t>电气性能试验</w:t>
      </w:r>
      <w:bookmarkEnd w:id="158"/>
      <w:bookmarkEnd w:id="159"/>
      <w:bookmarkEnd w:id="160"/>
    </w:p>
    <w:p w14:paraId="7CAE7029">
      <w:pPr>
        <w:pStyle w:val="49"/>
        <w:tabs>
          <w:tab w:val="center" w:pos="4201"/>
          <w:tab w:val="right" w:leader="dot" w:pos="9298"/>
        </w:tabs>
        <w:topLinePunct/>
        <w:ind w:firstLine="420"/>
        <w:rPr>
          <w:rFonts w:ascii="Times New Roman"/>
          <w:szCs w:val="21"/>
        </w:rPr>
      </w:pPr>
      <w:r>
        <w:rPr>
          <w:rFonts w:ascii="Times New Roman"/>
          <w:szCs w:val="21"/>
        </w:rPr>
        <w:t>应</w:t>
      </w:r>
      <w:r>
        <w:rPr>
          <w:rFonts w:hint="eastAsia" w:ascii="Times New Roman"/>
          <w:szCs w:val="21"/>
        </w:rPr>
        <w:t>按照</w:t>
      </w:r>
      <w:r>
        <w:rPr>
          <w:rFonts w:ascii="Times New Roman"/>
          <w:szCs w:val="21"/>
        </w:rPr>
        <w:t>GB/T 17215.321—2021中第11章的</w:t>
      </w:r>
      <w:r>
        <w:rPr>
          <w:rFonts w:hint="eastAsia" w:ascii="Times New Roman"/>
          <w:szCs w:val="21"/>
        </w:rPr>
        <w:t>要求开展</w:t>
      </w:r>
      <w:r>
        <w:rPr>
          <w:rFonts w:ascii="Times New Roman"/>
          <w:szCs w:val="21"/>
        </w:rPr>
        <w:t>。</w:t>
      </w:r>
    </w:p>
    <w:p w14:paraId="08610C81">
      <w:pPr>
        <w:pStyle w:val="3"/>
        <w:ind w:left="431" w:hanging="431"/>
      </w:pPr>
      <w:bookmarkStart w:id="161" w:name="_Toc21954"/>
      <w:bookmarkStart w:id="162" w:name="_Toc183601224"/>
      <w:bookmarkStart w:id="163" w:name="_Toc706"/>
      <w:r>
        <w:rPr>
          <w:rFonts w:hint="eastAsia"/>
        </w:rPr>
        <w:t>外部影响试验</w:t>
      </w:r>
      <w:bookmarkEnd w:id="161"/>
      <w:bookmarkEnd w:id="162"/>
      <w:bookmarkEnd w:id="163"/>
    </w:p>
    <w:p w14:paraId="6D4B17D7">
      <w:pPr>
        <w:pStyle w:val="49"/>
        <w:tabs>
          <w:tab w:val="center" w:pos="4201"/>
          <w:tab w:val="right" w:leader="dot" w:pos="9298"/>
        </w:tabs>
        <w:topLinePunct/>
        <w:ind w:firstLine="420"/>
        <w:rPr>
          <w:rFonts w:ascii="Times New Roman"/>
          <w:szCs w:val="21"/>
        </w:rPr>
      </w:pPr>
      <w:r>
        <w:rPr>
          <w:rFonts w:ascii="Times New Roman"/>
          <w:szCs w:val="21"/>
        </w:rPr>
        <w:t>应</w:t>
      </w:r>
      <w:r>
        <w:rPr>
          <w:rFonts w:hint="eastAsia" w:ascii="Times New Roman"/>
          <w:szCs w:val="21"/>
        </w:rPr>
        <w:t>按照</w:t>
      </w:r>
      <w:r>
        <w:rPr>
          <w:rFonts w:ascii="Times New Roman"/>
          <w:szCs w:val="21"/>
        </w:rPr>
        <w:t>GB/T 17215.211—2021中的第9章的</w:t>
      </w:r>
      <w:r>
        <w:rPr>
          <w:rFonts w:hint="eastAsia" w:ascii="Times New Roman"/>
          <w:szCs w:val="21"/>
        </w:rPr>
        <w:t>要求开展</w:t>
      </w:r>
      <w:r>
        <w:rPr>
          <w:rFonts w:ascii="Times New Roman"/>
          <w:szCs w:val="21"/>
        </w:rPr>
        <w:t>。</w:t>
      </w:r>
    </w:p>
    <w:p w14:paraId="66E2CB7F">
      <w:pPr>
        <w:pStyle w:val="3"/>
        <w:ind w:left="431" w:hanging="431"/>
      </w:pPr>
      <w:bookmarkStart w:id="164" w:name="_Toc23277"/>
      <w:bookmarkStart w:id="165" w:name="_Toc183601225"/>
      <w:bookmarkStart w:id="166" w:name="_Toc27790"/>
      <w:r>
        <w:rPr>
          <w:rFonts w:hint="eastAsia"/>
        </w:rPr>
        <w:t>计量性能试验</w:t>
      </w:r>
      <w:bookmarkEnd w:id="164"/>
      <w:bookmarkEnd w:id="165"/>
      <w:bookmarkEnd w:id="166"/>
    </w:p>
    <w:p w14:paraId="28CE696B">
      <w:pPr>
        <w:pStyle w:val="4"/>
        <w:ind w:left="431" w:hanging="431"/>
        <w:rPr>
          <w:rFonts w:ascii="黑体" w:hAnsi="黑体" w:eastAsia="黑体" w:cs="黑体"/>
        </w:rPr>
      </w:pPr>
      <w:r>
        <w:rPr>
          <w:rFonts w:hint="eastAsia" w:ascii="黑体" w:hAnsi="黑体" w:eastAsia="黑体" w:cs="黑体"/>
        </w:rPr>
        <w:t>电碳计量准确度试验</w:t>
      </w:r>
    </w:p>
    <w:p w14:paraId="3438C8D0">
      <w:pPr>
        <w:widowControl/>
        <w:adjustRightInd/>
        <w:ind w:firstLine="420" w:firstLineChars="200"/>
        <w:textAlignment w:val="auto"/>
        <w:rPr>
          <w:szCs w:val="21"/>
        </w:rPr>
      </w:pPr>
      <w:r>
        <w:rPr>
          <w:rFonts w:hint="eastAsia"/>
          <w:szCs w:val="21"/>
        </w:rPr>
        <w:t>按照5.6.1规定的条件，</w:t>
      </w:r>
      <w:r>
        <w:rPr>
          <w:szCs w:val="21"/>
        </w:rPr>
        <w:t>采用电碳计量设备检测装置</w:t>
      </w:r>
      <w:r>
        <w:rPr>
          <w:rFonts w:hint="eastAsia"/>
          <w:szCs w:val="21"/>
        </w:rPr>
        <w:t>向被测电碳计量设备</w:t>
      </w:r>
      <w:r>
        <w:rPr>
          <w:szCs w:val="21"/>
        </w:rPr>
        <w:t>施加</w:t>
      </w:r>
      <w:r>
        <w:rPr>
          <w:rFonts w:hint="eastAsia"/>
          <w:szCs w:val="21"/>
        </w:rPr>
        <w:t>规定的</w:t>
      </w:r>
      <w:r>
        <w:rPr>
          <w:szCs w:val="21"/>
        </w:rPr>
        <w:t>电流</w:t>
      </w:r>
      <w:r>
        <w:rPr>
          <w:rFonts w:hint="eastAsia"/>
          <w:szCs w:val="21"/>
        </w:rPr>
        <w:t>和</w:t>
      </w:r>
      <w:r>
        <w:rPr>
          <w:szCs w:val="21"/>
        </w:rPr>
        <w:t>电碳因子，比较被测电碳计量设备</w:t>
      </w:r>
      <w:r>
        <w:rPr>
          <w:rFonts w:hint="eastAsia"/>
          <w:szCs w:val="21"/>
        </w:rPr>
        <w:t>的</w:t>
      </w:r>
      <w:r>
        <w:rPr>
          <w:szCs w:val="21"/>
        </w:rPr>
        <w:t>电碳量增量与检测装置</w:t>
      </w:r>
      <w:r>
        <w:t>的电碳量增量</w:t>
      </w:r>
      <w:r>
        <w:rPr>
          <w:szCs w:val="21"/>
        </w:rPr>
        <w:t>。</w:t>
      </w:r>
    </w:p>
    <w:p w14:paraId="219DD6FA">
      <w:pPr>
        <w:ind w:firstLine="525" w:firstLineChars="250"/>
      </w:pPr>
      <w:r>
        <w:t>被测电碳计量设备的相对误差按照式（</w:t>
      </w:r>
      <w:r>
        <w:rPr>
          <w:rFonts w:hint="eastAsia"/>
        </w:rPr>
        <w:t>2</w:t>
      </w:r>
      <w:r>
        <w:t>）计算。</w:t>
      </w:r>
    </w:p>
    <w:p w14:paraId="55158DA1">
      <w:pPr>
        <w:jc w:val="center"/>
      </w:pPr>
      <w:r>
        <w:rPr>
          <w:rFonts w:hint="eastAsia" w:hAnsi="Cambria Math"/>
          <w:sz w:val="22"/>
        </w:rPr>
        <w:t xml:space="preserve">                </w:t>
      </w:r>
      <m:oMath>
        <m:r>
          <m:rPr>
            <m:sty m:val="p"/>
          </m:rPr>
          <w:rPr>
            <w:rFonts w:ascii="Cambria Math" w:hAnsi="Cambria Math"/>
            <w:sz w:val="22"/>
          </w:rPr>
          <m:t>ε=</m:t>
        </m:r>
        <m:f>
          <m:fPr>
            <m:ctrlPr>
              <w:rPr>
                <w:rFonts w:ascii="Cambria Math" w:hAnsi="Cambria Math"/>
                <w:sz w:val="22"/>
              </w:rPr>
            </m:ctrlPr>
          </m:fPr>
          <m:num>
            <m:r>
              <m:rPr/>
              <w:rPr>
                <w:rFonts w:ascii="Cambria Math" w:hAnsi="Cambria Math"/>
                <w:sz w:val="22"/>
              </w:rPr>
              <m:t>C−</m:t>
            </m:r>
            <m:sSub>
              <m:sSubPr>
                <m:ctrlPr>
                  <w:rPr>
                    <w:rFonts w:ascii="Cambria Math" w:hAnsi="Cambria Math"/>
                    <w:i/>
                    <w:sz w:val="22"/>
                  </w:rPr>
                </m:ctrlPr>
              </m:sSubPr>
              <m:e>
                <m:r>
                  <m:rPr/>
                  <w:rPr>
                    <w:rFonts w:ascii="Cambria Math" w:hAnsi="Cambria Math"/>
                    <w:sz w:val="22"/>
                  </w:rPr>
                  <m:t>C</m:t>
                </m:r>
                <m:ctrlPr>
                  <w:rPr>
                    <w:rFonts w:ascii="Cambria Math" w:hAnsi="Cambria Math"/>
                    <w:i/>
                    <w:sz w:val="22"/>
                  </w:rPr>
                </m:ctrlPr>
              </m:e>
              <m:sub>
                <m:r>
                  <m:rPr/>
                  <w:rPr>
                    <w:rFonts w:ascii="Cambria Math" w:hAnsi="Cambria Math"/>
                    <w:sz w:val="22"/>
                  </w:rPr>
                  <m:t>0</m:t>
                </m:r>
                <m:ctrlPr>
                  <w:rPr>
                    <w:rFonts w:ascii="Cambria Math" w:hAnsi="Cambria Math"/>
                    <w:i/>
                    <w:sz w:val="22"/>
                  </w:rPr>
                </m:ctrlPr>
              </m:sub>
            </m:sSub>
            <m:ctrlPr>
              <w:rPr>
                <w:rFonts w:ascii="Cambria Math" w:hAnsi="Cambria Math"/>
                <w:sz w:val="22"/>
              </w:rPr>
            </m:ctrlPr>
          </m:num>
          <m:den>
            <m:sSub>
              <m:sSubPr>
                <m:ctrlPr>
                  <w:rPr>
                    <w:rFonts w:ascii="Cambria Math" w:hAnsi="Cambria Math"/>
                    <w:i/>
                    <w:sz w:val="22"/>
                  </w:rPr>
                </m:ctrlPr>
              </m:sSubPr>
              <m:e>
                <m:r>
                  <m:rPr/>
                  <w:rPr>
                    <w:rFonts w:ascii="Cambria Math" w:hAnsi="Cambria Math"/>
                    <w:sz w:val="22"/>
                  </w:rPr>
                  <m:t>C</m:t>
                </m:r>
                <m:ctrlPr>
                  <w:rPr>
                    <w:rFonts w:ascii="Cambria Math" w:hAnsi="Cambria Math"/>
                    <w:i/>
                    <w:sz w:val="22"/>
                  </w:rPr>
                </m:ctrlPr>
              </m:e>
              <m:sub>
                <m:r>
                  <m:rPr/>
                  <w:rPr>
                    <w:rFonts w:ascii="Cambria Math" w:hAnsi="Cambria Math"/>
                    <w:sz w:val="22"/>
                  </w:rPr>
                  <m:t>0</m:t>
                </m:r>
                <m:ctrlPr>
                  <w:rPr>
                    <w:rFonts w:ascii="Cambria Math" w:hAnsi="Cambria Math"/>
                    <w:i/>
                    <w:sz w:val="22"/>
                  </w:rPr>
                </m:ctrlPr>
              </m:sub>
            </m:sSub>
            <m:ctrlPr>
              <w:rPr>
                <w:rFonts w:ascii="Cambria Math" w:hAnsi="Cambria Math"/>
                <w:sz w:val="22"/>
              </w:rPr>
            </m:ctrlPr>
          </m:den>
        </m:f>
        <m:r>
          <m:rPr/>
          <w:rPr>
            <w:rFonts w:ascii="Cambria Math" w:hAnsi="Cambria Math"/>
            <w:sz w:val="22"/>
          </w:rPr>
          <m:t>×100%</m:t>
        </m:r>
      </m:oMath>
      <w:r>
        <w:tab/>
      </w:r>
      <w:r>
        <w:rPr>
          <w:rFonts w:hint="eastAsia" w:hAnsi="Cambria Math"/>
          <w:i/>
          <w:sz w:val="18"/>
          <w:szCs w:val="18"/>
          <w:lang w:val="en-US" w:eastAsia="zh-CN"/>
        </w:rPr>
        <w:t>......................................................................................</w:t>
      </w:r>
      <w:r>
        <w:t>（</w:t>
      </w:r>
      <w:r>
        <w:rPr>
          <w:rFonts w:hint="eastAsia"/>
        </w:rPr>
        <w:t>2</w:t>
      </w:r>
      <w:r>
        <w:t>）</w:t>
      </w:r>
    </w:p>
    <w:p w14:paraId="24224C13">
      <w:pPr>
        <w:ind w:firstLine="420" w:firstLineChars="200"/>
      </w:pPr>
      <w:r>
        <w:t>式中：</w:t>
      </w:r>
    </w:p>
    <w:p w14:paraId="072ED39F">
      <w:pPr>
        <w:ind w:firstLine="422" w:firstLineChars="200"/>
      </w:pPr>
      <w:r>
        <w:rPr>
          <w:b/>
          <w:i/>
          <w:iCs/>
        </w:rPr>
        <w:t>ε</w:t>
      </w:r>
      <w:r>
        <w:t>——百分数误差；</w:t>
      </w:r>
    </w:p>
    <w:p w14:paraId="2F378098">
      <w:pPr>
        <w:ind w:firstLine="420" w:firstLineChars="200"/>
      </w:pPr>
      <w:r>
        <w:rPr>
          <w:i/>
          <w:iCs/>
        </w:rPr>
        <w:t>C</w:t>
      </w:r>
      <w:r>
        <w:t xml:space="preserve"> ——被测电碳计量设备</w:t>
      </w:r>
      <w:r>
        <w:rPr>
          <w:rFonts w:hint="eastAsia"/>
        </w:rPr>
        <w:t>计算得到的</w:t>
      </w:r>
      <w:r>
        <w:t>电碳量增量；</w:t>
      </w:r>
    </w:p>
    <w:p w14:paraId="3FA60CED">
      <w:pPr>
        <w:ind w:firstLine="420" w:firstLineChars="200"/>
      </w:pPr>
      <w:r>
        <w:rPr>
          <w:i/>
          <w:iCs/>
        </w:rPr>
        <w:t>C</w:t>
      </w:r>
      <w:r>
        <w:rPr>
          <w:sz w:val="20"/>
          <w:szCs w:val="18"/>
          <w:vertAlign w:val="subscript"/>
        </w:rPr>
        <w:t>0</w:t>
      </w:r>
      <w:r>
        <w:t>——</w:t>
      </w:r>
      <w:r>
        <w:rPr>
          <w:szCs w:val="21"/>
        </w:rPr>
        <w:t>检测装置</w:t>
      </w:r>
      <w:r>
        <w:t>计算得到的电碳量增量。</w:t>
      </w:r>
    </w:p>
    <w:p w14:paraId="2858E940">
      <w:pPr>
        <w:ind w:firstLine="420" w:firstLineChars="200"/>
      </w:pPr>
      <w:r>
        <w:t>每一个测试点下，至少记录两次误差测试数据，取其平均值作为测量误差。</w:t>
      </w:r>
    </w:p>
    <w:p w14:paraId="096D1214">
      <w:pPr>
        <w:pStyle w:val="4"/>
        <w:ind w:left="431" w:hanging="431"/>
        <w:rPr>
          <w:rFonts w:ascii="黑体" w:hAnsi="黑体" w:eastAsia="黑体" w:cs="黑体"/>
        </w:rPr>
      </w:pPr>
      <w:r>
        <w:rPr>
          <w:rFonts w:hint="eastAsia" w:ascii="黑体" w:hAnsi="黑体" w:eastAsia="黑体" w:cs="黑体"/>
        </w:rPr>
        <w:t>计时准确度试验</w:t>
      </w:r>
    </w:p>
    <w:p w14:paraId="744265B9">
      <w:pPr>
        <w:ind w:firstLine="420" w:firstLineChars="200"/>
        <w:rPr>
          <w:highlight w:val="yellow"/>
        </w:rPr>
      </w:pPr>
      <w:r>
        <w:t>应</w:t>
      </w:r>
      <w:r>
        <w:rPr>
          <w:rFonts w:hint="eastAsia"/>
        </w:rPr>
        <w:t>按照</w:t>
      </w:r>
      <w:r>
        <w:t>GB/T 17215.211</w:t>
      </w:r>
      <w:r>
        <w:rPr>
          <w:szCs w:val="21"/>
        </w:rPr>
        <w:t>—</w:t>
      </w:r>
      <w:r>
        <w:t>2021中7.13的</w:t>
      </w:r>
      <w:r>
        <w:rPr>
          <w:rFonts w:hint="eastAsia"/>
        </w:rPr>
        <w:t>要求开展</w:t>
      </w:r>
      <w:r>
        <w:t>。</w:t>
      </w:r>
    </w:p>
    <w:p w14:paraId="105B8200">
      <w:pPr>
        <w:pStyle w:val="3"/>
        <w:ind w:left="431" w:hanging="431"/>
      </w:pPr>
      <w:bookmarkStart w:id="167" w:name="_Toc24044"/>
      <w:bookmarkStart w:id="168" w:name="_Toc183601228"/>
      <w:bookmarkStart w:id="169" w:name="_Toc16404"/>
      <w:r>
        <w:rPr>
          <w:rFonts w:hint="eastAsia"/>
        </w:rPr>
        <w:t>功能试验</w:t>
      </w:r>
      <w:bookmarkEnd w:id="167"/>
    </w:p>
    <w:p w14:paraId="522A092D">
      <w:pPr>
        <w:pStyle w:val="4"/>
        <w:ind w:left="431" w:hanging="431"/>
        <w:rPr>
          <w:rFonts w:ascii="黑体" w:hAnsi="黑体" w:eastAsia="黑体" w:cs="黑体"/>
        </w:rPr>
      </w:pPr>
      <w:r>
        <w:rPr>
          <w:rFonts w:hint="eastAsia" w:ascii="黑体" w:hAnsi="黑体" w:eastAsia="黑体" w:cs="黑体"/>
        </w:rPr>
        <w:t>数据存储试验</w:t>
      </w:r>
    </w:p>
    <w:p w14:paraId="7C6649C5">
      <w:pPr>
        <w:ind w:firstLine="420" w:firstLineChars="200"/>
      </w:pPr>
      <w:r>
        <w:rPr>
          <w:rFonts w:hint="eastAsia"/>
        </w:rPr>
        <w:t>采用目测法验证，应符合5.7.1的要求。</w:t>
      </w:r>
    </w:p>
    <w:p w14:paraId="1E1E2799">
      <w:pPr>
        <w:pStyle w:val="4"/>
        <w:ind w:left="431" w:hanging="431"/>
        <w:rPr>
          <w:rFonts w:ascii="黑体" w:hAnsi="黑体" w:eastAsia="黑体" w:cs="黑体"/>
        </w:rPr>
      </w:pPr>
      <w:r>
        <w:rPr>
          <w:rFonts w:hint="eastAsia" w:ascii="黑体" w:hAnsi="黑体" w:eastAsia="黑体" w:cs="黑体"/>
        </w:rPr>
        <w:t>通信试验</w:t>
      </w:r>
    </w:p>
    <w:p w14:paraId="72FBDDA1">
      <w:pPr>
        <w:ind w:firstLine="420"/>
      </w:pPr>
      <w:r>
        <w:rPr>
          <w:rFonts w:hint="eastAsia"/>
        </w:rPr>
        <w:t>采用电碳计量设备检测装置验证，</w:t>
      </w:r>
      <w:r>
        <w:t>应符合</w:t>
      </w:r>
      <w:r>
        <w:rPr>
          <w:rFonts w:hint="eastAsia"/>
        </w:rPr>
        <w:t>5</w:t>
      </w:r>
      <w:r>
        <w:t>.</w:t>
      </w:r>
      <w:r>
        <w:rPr>
          <w:rFonts w:hint="eastAsia"/>
        </w:rPr>
        <w:t>7.2</w:t>
      </w:r>
      <w:r>
        <w:t>的要求</w:t>
      </w:r>
      <w:r>
        <w:rPr>
          <w:rFonts w:hint="eastAsia"/>
        </w:rPr>
        <w:t>。</w:t>
      </w:r>
    </w:p>
    <w:bookmarkEnd w:id="168"/>
    <w:bookmarkEnd w:id="169"/>
    <w:p w14:paraId="149F1AB5">
      <w:pPr>
        <w:pStyle w:val="2"/>
        <w:spacing w:beforeLines="0" w:afterLines="0"/>
        <w:ind w:left="431" w:hanging="431"/>
      </w:pPr>
      <w:bookmarkStart w:id="170" w:name="_Toc14240"/>
      <w:r>
        <w:rPr>
          <w:rFonts w:hint="eastAsia"/>
        </w:rPr>
        <w:t>检验规则</w:t>
      </w:r>
      <w:bookmarkEnd w:id="170"/>
    </w:p>
    <w:p w14:paraId="1CD10590">
      <w:pPr>
        <w:pStyle w:val="3"/>
        <w:ind w:left="431" w:hanging="431"/>
      </w:pPr>
      <w:bookmarkStart w:id="171" w:name="_Toc4232"/>
      <w:bookmarkStart w:id="172" w:name="_Toc13022"/>
      <w:r>
        <w:rPr>
          <w:rFonts w:hint="eastAsia"/>
        </w:rPr>
        <w:t>检验类别</w:t>
      </w:r>
      <w:bookmarkEnd w:id="171"/>
      <w:bookmarkEnd w:id="172"/>
    </w:p>
    <w:p w14:paraId="562CAB27">
      <w:pPr>
        <w:ind w:firstLine="420" w:firstLineChars="200"/>
      </w:pPr>
      <w:r>
        <w:t>检验类别分为型式检验和出厂检验。</w:t>
      </w:r>
    </w:p>
    <w:p w14:paraId="0A8C7695">
      <w:pPr>
        <w:pStyle w:val="3"/>
        <w:ind w:left="431" w:hanging="431"/>
      </w:pPr>
      <w:bookmarkStart w:id="173" w:name="_Toc28017"/>
      <w:bookmarkStart w:id="174" w:name="_Toc22209"/>
      <w:r>
        <w:rPr>
          <w:rFonts w:hint="eastAsia"/>
        </w:rPr>
        <w:t>型式</w:t>
      </w:r>
      <w:bookmarkEnd w:id="173"/>
      <w:r>
        <w:rPr>
          <w:rFonts w:hint="eastAsia"/>
        </w:rPr>
        <w:t>检验</w:t>
      </w:r>
      <w:bookmarkEnd w:id="174"/>
    </w:p>
    <w:p w14:paraId="73EDCB70">
      <w:pPr>
        <w:autoSpaceDE w:val="0"/>
        <w:autoSpaceDN w:val="0"/>
        <w:ind w:firstLine="420" w:firstLineChars="200"/>
        <w:textAlignment w:val="auto"/>
      </w:pPr>
      <w:r>
        <w:rPr>
          <w:szCs w:val="21"/>
        </w:rPr>
        <w:t>型式检验的项目应符合附录A的规定。</w:t>
      </w:r>
    </w:p>
    <w:p w14:paraId="7D843194">
      <w:pPr>
        <w:pStyle w:val="3"/>
        <w:ind w:left="431" w:hanging="431"/>
      </w:pPr>
      <w:bookmarkStart w:id="175" w:name="_Toc27907"/>
      <w:bookmarkStart w:id="176" w:name="_Toc24116"/>
      <w:bookmarkStart w:id="177" w:name="_Toc183601230"/>
      <w:r>
        <w:rPr>
          <w:rFonts w:hint="eastAsia"/>
        </w:rPr>
        <w:t>出厂检验</w:t>
      </w:r>
      <w:bookmarkEnd w:id="175"/>
      <w:bookmarkEnd w:id="176"/>
      <w:bookmarkEnd w:id="177"/>
    </w:p>
    <w:p w14:paraId="6F0160CA">
      <w:pPr>
        <w:autoSpaceDE w:val="0"/>
        <w:autoSpaceDN w:val="0"/>
        <w:ind w:firstLine="420" w:firstLineChars="200"/>
        <w:jc w:val="both"/>
        <w:textAlignment w:val="auto"/>
      </w:pPr>
      <w:r>
        <w:rPr>
          <w:szCs w:val="21"/>
        </w:rPr>
        <w:t>出厂检验的项目应符合附录A的规定。</w:t>
      </w:r>
    </w:p>
    <w:p w14:paraId="3EA39F9E">
      <w:pPr>
        <w:pStyle w:val="2"/>
        <w:spacing w:beforeLines="0" w:afterLines="0"/>
        <w:ind w:left="431" w:hanging="431"/>
      </w:pPr>
      <w:bookmarkStart w:id="178" w:name="_Toc4792"/>
      <w:r>
        <w:rPr>
          <w:rFonts w:hint="eastAsia"/>
        </w:rPr>
        <w:t>包装与贮存</w:t>
      </w:r>
      <w:bookmarkEnd w:id="178"/>
      <w:r>
        <w:rPr>
          <w:rFonts w:hint="eastAsia"/>
        </w:rPr>
        <w:t xml:space="preserve"> </w:t>
      </w:r>
    </w:p>
    <w:p w14:paraId="4C68BBCF">
      <w:pPr>
        <w:pStyle w:val="3"/>
        <w:ind w:left="431" w:hanging="431"/>
      </w:pPr>
      <w:bookmarkStart w:id="179" w:name="_Toc26627"/>
      <w:bookmarkStart w:id="180" w:name="_Toc5475"/>
      <w:r>
        <w:rPr>
          <w:rFonts w:hint="eastAsia"/>
        </w:rPr>
        <w:t>包装</w:t>
      </w:r>
      <w:bookmarkEnd w:id="179"/>
      <w:bookmarkEnd w:id="180"/>
    </w:p>
    <w:p w14:paraId="4E58C87A">
      <w:pPr>
        <w:widowControl/>
        <w:tabs>
          <w:tab w:val="center" w:pos="4201"/>
          <w:tab w:val="right" w:leader="dot" w:pos="9298"/>
        </w:tabs>
        <w:topLinePunct/>
        <w:autoSpaceDE w:val="0"/>
        <w:autoSpaceDN w:val="0"/>
        <w:ind w:firstLine="420" w:firstLineChars="200"/>
      </w:pPr>
      <w:r>
        <w:rPr>
          <w:rFonts w:hint="eastAsia"/>
        </w:rPr>
        <w:t>包装</w:t>
      </w:r>
      <w:r>
        <w:t>应符合GB/T 13384</w:t>
      </w:r>
      <w:r>
        <w:rPr>
          <w:szCs w:val="21"/>
        </w:rPr>
        <w:t>—</w:t>
      </w:r>
      <w:r>
        <w:t>2008的规定。</w:t>
      </w:r>
    </w:p>
    <w:p w14:paraId="16B2DDF5">
      <w:pPr>
        <w:pStyle w:val="3"/>
        <w:ind w:left="431" w:hanging="431"/>
      </w:pPr>
      <w:bookmarkStart w:id="181" w:name="_Toc21840"/>
      <w:bookmarkStart w:id="182" w:name="_Toc4746"/>
      <w:r>
        <w:rPr>
          <w:rFonts w:hint="eastAsia"/>
        </w:rPr>
        <w:t>贮存与运输</w:t>
      </w:r>
      <w:bookmarkEnd w:id="181"/>
      <w:bookmarkEnd w:id="182"/>
    </w:p>
    <w:p w14:paraId="56AB0240">
      <w:pPr>
        <w:autoSpaceDE w:val="0"/>
        <w:autoSpaceDN w:val="0"/>
        <w:ind w:firstLine="420" w:firstLineChars="200"/>
        <w:textAlignment w:val="auto"/>
        <w:rPr>
          <w:szCs w:val="21"/>
        </w:rPr>
      </w:pPr>
      <w:r>
        <w:rPr>
          <w:rFonts w:hint="eastAsia"/>
          <w:szCs w:val="21"/>
        </w:rPr>
        <w:t>贮存与运输</w:t>
      </w:r>
      <w:r>
        <w:rPr>
          <w:szCs w:val="21"/>
        </w:rPr>
        <w:t>应符合GB/T 17215.211—2021中8.2和8.3的规定。</w:t>
      </w:r>
    </w:p>
    <w:p w14:paraId="496C6070"/>
    <w:p w14:paraId="274AE531">
      <w:r>
        <w:br w:type="page"/>
      </w:r>
    </w:p>
    <w:p w14:paraId="11BA3403">
      <w:pPr>
        <w:pStyle w:val="115"/>
        <w:numPr>
          <w:ilvl w:val="0"/>
          <w:numId w:val="4"/>
        </w:numPr>
        <w:spacing w:before="78" w:after="156"/>
        <w:rPr>
          <w:rFonts w:ascii="Times New Roman"/>
        </w:rPr>
      </w:pPr>
      <w:bookmarkStart w:id="183" w:name="_Toc13515"/>
      <w:bookmarkEnd w:id="183"/>
    </w:p>
    <w:p w14:paraId="5F9FAD77">
      <w:pPr>
        <w:pStyle w:val="115"/>
        <w:spacing w:before="78" w:after="156"/>
        <w:rPr>
          <w:rFonts w:ascii="Times New Roman"/>
        </w:rPr>
      </w:pPr>
      <w:bookmarkStart w:id="184" w:name="_Toc30295"/>
      <w:bookmarkStart w:id="185" w:name="_Toc183601239"/>
      <w:bookmarkStart w:id="186" w:name="_Toc4962"/>
      <w:r>
        <w:rPr>
          <w:rFonts w:ascii="Times New Roman"/>
        </w:rPr>
        <w:t>（规范性）</w:t>
      </w:r>
      <w:bookmarkEnd w:id="184"/>
      <w:bookmarkEnd w:id="185"/>
      <w:bookmarkEnd w:id="186"/>
    </w:p>
    <w:p w14:paraId="718A90BC">
      <w:pPr>
        <w:pStyle w:val="115"/>
        <w:spacing w:before="78" w:after="156"/>
        <w:rPr>
          <w:rFonts w:ascii="Times New Roman"/>
        </w:rPr>
      </w:pPr>
      <w:bookmarkStart w:id="187" w:name="_Toc26359"/>
      <w:bookmarkStart w:id="188" w:name="_Toc23262"/>
      <w:r>
        <w:rPr>
          <w:rFonts w:ascii="Times New Roman"/>
        </w:rPr>
        <w:t>试验项目</w:t>
      </w:r>
      <w:bookmarkEnd w:id="187"/>
      <w:bookmarkEnd w:id="188"/>
    </w:p>
    <w:p w14:paraId="371BBA9A">
      <w:pPr>
        <w:pStyle w:val="3"/>
        <w:numPr>
          <w:ilvl w:val="1"/>
          <w:numId w:val="0"/>
        </w:numPr>
        <w:rPr>
          <w:rFonts w:ascii="Times New Roman" w:hAnsi="Times New Roman"/>
        </w:rPr>
      </w:pPr>
      <w:bookmarkStart w:id="189" w:name="_Toc10966"/>
      <w:bookmarkStart w:id="190" w:name="_Toc2946"/>
      <w:r>
        <w:rPr>
          <w:rFonts w:ascii="Times New Roman" w:hAnsi="Times New Roman"/>
        </w:rPr>
        <w:t>A.1  试验项目</w:t>
      </w:r>
      <w:bookmarkEnd w:id="189"/>
      <w:bookmarkEnd w:id="190"/>
    </w:p>
    <w:p w14:paraId="19B13190">
      <w:pPr>
        <w:pStyle w:val="98"/>
        <w:ind w:firstLine="420"/>
        <w:rPr>
          <w:rFonts w:ascii="Times New Roman"/>
        </w:rPr>
      </w:pPr>
      <w:r>
        <w:rPr>
          <w:rFonts w:ascii="Times New Roman"/>
        </w:rPr>
        <w:t>检验项目应符合表A.1的规定。</w:t>
      </w:r>
    </w:p>
    <w:p w14:paraId="4803ACBE">
      <w:pPr>
        <w:pStyle w:val="116"/>
        <w:numPr>
          <w:ilvl w:val="1"/>
          <w:numId w:val="0"/>
        </w:numPr>
        <w:spacing w:before="156" w:after="156"/>
        <w:rPr>
          <w:rFonts w:ascii="Times New Roman"/>
        </w:rPr>
      </w:pPr>
      <w:r>
        <w:rPr>
          <w:rFonts w:ascii="Times New Roman"/>
        </w:rPr>
        <w:t>表A.1 试验项目</w:t>
      </w:r>
    </w:p>
    <w:tbl>
      <w:tblPr>
        <w:tblStyle w:val="34"/>
        <w:tblW w:w="935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39"/>
        <w:gridCol w:w="1603"/>
        <w:gridCol w:w="1963"/>
        <w:gridCol w:w="1612"/>
        <w:gridCol w:w="1612"/>
        <w:gridCol w:w="1624"/>
      </w:tblGrid>
      <w:tr w14:paraId="33B8E2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tblHeader/>
          <w:jc w:val="center"/>
        </w:trPr>
        <w:tc>
          <w:tcPr>
            <w:tcW w:w="939" w:type="dxa"/>
            <w:tcBorders>
              <w:top w:val="single" w:color="auto" w:sz="8" w:space="0"/>
              <w:bottom w:val="single" w:color="auto" w:sz="8" w:space="0"/>
            </w:tcBorders>
            <w:vAlign w:val="center"/>
          </w:tcPr>
          <w:p w14:paraId="57F30A80">
            <w:pPr>
              <w:pStyle w:val="117"/>
              <w:rPr>
                <w:rFonts w:ascii="Times New Roman"/>
                <w:szCs w:val="18"/>
              </w:rPr>
            </w:pPr>
            <w:r>
              <w:rPr>
                <w:rFonts w:ascii="Times New Roman"/>
                <w:szCs w:val="18"/>
              </w:rPr>
              <w:t>序号</w:t>
            </w:r>
          </w:p>
        </w:tc>
        <w:tc>
          <w:tcPr>
            <w:tcW w:w="1603" w:type="dxa"/>
            <w:tcBorders>
              <w:top w:val="single" w:color="auto" w:sz="8" w:space="0"/>
              <w:bottom w:val="single" w:color="auto" w:sz="8" w:space="0"/>
            </w:tcBorders>
            <w:vAlign w:val="center"/>
          </w:tcPr>
          <w:p w14:paraId="6E11A7C1">
            <w:pPr>
              <w:pStyle w:val="117"/>
              <w:rPr>
                <w:rFonts w:ascii="Times New Roman"/>
                <w:szCs w:val="18"/>
              </w:rPr>
            </w:pPr>
            <w:r>
              <w:rPr>
                <w:rFonts w:ascii="Times New Roman"/>
                <w:szCs w:val="18"/>
              </w:rPr>
              <w:t>试验项目</w:t>
            </w:r>
          </w:p>
        </w:tc>
        <w:tc>
          <w:tcPr>
            <w:tcW w:w="1963" w:type="dxa"/>
            <w:tcBorders>
              <w:top w:val="single" w:color="auto" w:sz="8" w:space="0"/>
              <w:bottom w:val="single" w:color="auto" w:sz="8" w:space="0"/>
            </w:tcBorders>
            <w:vAlign w:val="center"/>
          </w:tcPr>
          <w:p w14:paraId="2ADED202">
            <w:pPr>
              <w:pStyle w:val="117"/>
              <w:rPr>
                <w:rFonts w:ascii="Times New Roman"/>
                <w:szCs w:val="18"/>
              </w:rPr>
            </w:pPr>
            <w:r>
              <w:rPr>
                <w:rFonts w:ascii="Times New Roman"/>
                <w:szCs w:val="18"/>
              </w:rPr>
              <w:t>技术要求</w:t>
            </w:r>
          </w:p>
        </w:tc>
        <w:tc>
          <w:tcPr>
            <w:tcW w:w="1612" w:type="dxa"/>
            <w:tcBorders>
              <w:top w:val="single" w:color="auto" w:sz="8" w:space="0"/>
              <w:bottom w:val="single" w:color="auto" w:sz="8" w:space="0"/>
            </w:tcBorders>
            <w:vAlign w:val="center"/>
          </w:tcPr>
          <w:p w14:paraId="39B87304">
            <w:pPr>
              <w:pStyle w:val="117"/>
              <w:rPr>
                <w:rFonts w:ascii="Times New Roman"/>
                <w:szCs w:val="18"/>
              </w:rPr>
            </w:pPr>
            <w:r>
              <w:rPr>
                <w:rFonts w:ascii="Times New Roman"/>
                <w:szCs w:val="18"/>
              </w:rPr>
              <w:t>试验方法</w:t>
            </w:r>
          </w:p>
        </w:tc>
        <w:tc>
          <w:tcPr>
            <w:tcW w:w="1612" w:type="dxa"/>
            <w:tcBorders>
              <w:top w:val="single" w:color="auto" w:sz="8" w:space="0"/>
              <w:bottom w:val="single" w:color="auto" w:sz="8" w:space="0"/>
            </w:tcBorders>
            <w:vAlign w:val="center"/>
          </w:tcPr>
          <w:p w14:paraId="6BB4ED62">
            <w:pPr>
              <w:pStyle w:val="117"/>
              <w:rPr>
                <w:rFonts w:ascii="Times New Roman"/>
                <w:szCs w:val="18"/>
              </w:rPr>
            </w:pPr>
            <w:r>
              <w:rPr>
                <w:rFonts w:ascii="Times New Roman"/>
                <w:szCs w:val="18"/>
              </w:rPr>
              <w:t>型式检验</w:t>
            </w:r>
          </w:p>
        </w:tc>
        <w:tc>
          <w:tcPr>
            <w:tcW w:w="1624" w:type="dxa"/>
            <w:tcBorders>
              <w:top w:val="single" w:color="auto" w:sz="8" w:space="0"/>
              <w:bottom w:val="single" w:color="auto" w:sz="8" w:space="0"/>
            </w:tcBorders>
            <w:vAlign w:val="center"/>
          </w:tcPr>
          <w:p w14:paraId="7B545C34">
            <w:pPr>
              <w:pStyle w:val="117"/>
              <w:rPr>
                <w:rFonts w:ascii="Times New Roman"/>
                <w:szCs w:val="18"/>
              </w:rPr>
            </w:pPr>
            <w:r>
              <w:rPr>
                <w:rFonts w:ascii="Times New Roman"/>
                <w:szCs w:val="18"/>
              </w:rPr>
              <w:t>出厂检验</w:t>
            </w:r>
          </w:p>
        </w:tc>
      </w:tr>
      <w:tr w14:paraId="3D468A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tcBorders>
              <w:top w:val="single" w:color="auto" w:sz="8" w:space="0"/>
            </w:tcBorders>
            <w:vAlign w:val="center"/>
          </w:tcPr>
          <w:p w14:paraId="7D36B3FE">
            <w:pPr>
              <w:pStyle w:val="117"/>
              <w:numPr>
                <w:ilvl w:val="0"/>
                <w:numId w:val="15"/>
              </w:numPr>
              <w:tabs>
                <w:tab w:val="clear" w:pos="0"/>
              </w:tabs>
              <w:ind w:firstLine="420"/>
              <w:rPr>
                <w:rFonts w:ascii="Times New Roman"/>
                <w:szCs w:val="18"/>
              </w:rPr>
            </w:pPr>
          </w:p>
        </w:tc>
        <w:tc>
          <w:tcPr>
            <w:tcW w:w="1603" w:type="dxa"/>
            <w:tcBorders>
              <w:top w:val="single" w:color="auto" w:sz="8" w:space="0"/>
            </w:tcBorders>
            <w:vAlign w:val="center"/>
          </w:tcPr>
          <w:p w14:paraId="2FD7D3E8">
            <w:pPr>
              <w:pStyle w:val="117"/>
              <w:rPr>
                <w:rFonts w:ascii="Times New Roman"/>
                <w:szCs w:val="18"/>
              </w:rPr>
            </w:pPr>
            <w:r>
              <w:rPr>
                <w:rFonts w:ascii="Times New Roman"/>
                <w:szCs w:val="18"/>
              </w:rPr>
              <w:t>机械</w:t>
            </w:r>
            <w:r>
              <w:rPr>
                <w:rFonts w:hint="eastAsia" w:ascii="Times New Roman"/>
                <w:szCs w:val="18"/>
              </w:rPr>
              <w:t>性能</w:t>
            </w:r>
          </w:p>
        </w:tc>
        <w:tc>
          <w:tcPr>
            <w:tcW w:w="1963" w:type="dxa"/>
            <w:tcBorders>
              <w:top w:val="single" w:color="auto" w:sz="8" w:space="0"/>
            </w:tcBorders>
            <w:vAlign w:val="center"/>
          </w:tcPr>
          <w:p w14:paraId="6BF6DBEF">
            <w:pPr>
              <w:pStyle w:val="117"/>
              <w:rPr>
                <w:rFonts w:ascii="Times New Roman"/>
                <w:szCs w:val="18"/>
              </w:rPr>
            </w:pPr>
            <w:r>
              <w:rPr>
                <w:rFonts w:ascii="Times New Roman"/>
                <w:szCs w:val="18"/>
              </w:rPr>
              <w:t>5.1</w:t>
            </w:r>
          </w:p>
        </w:tc>
        <w:tc>
          <w:tcPr>
            <w:tcW w:w="1612" w:type="dxa"/>
            <w:tcBorders>
              <w:top w:val="single" w:color="auto" w:sz="8" w:space="0"/>
            </w:tcBorders>
            <w:vAlign w:val="center"/>
          </w:tcPr>
          <w:p w14:paraId="53013797">
            <w:pPr>
              <w:pStyle w:val="117"/>
              <w:rPr>
                <w:rFonts w:ascii="Times New Roman"/>
                <w:szCs w:val="18"/>
              </w:rPr>
            </w:pPr>
            <w:r>
              <w:rPr>
                <w:rFonts w:ascii="Times New Roman"/>
                <w:szCs w:val="18"/>
              </w:rPr>
              <w:t>6.1</w:t>
            </w:r>
          </w:p>
        </w:tc>
        <w:tc>
          <w:tcPr>
            <w:tcW w:w="1612" w:type="dxa"/>
            <w:tcBorders>
              <w:top w:val="single" w:color="auto" w:sz="8" w:space="0"/>
            </w:tcBorders>
            <w:vAlign w:val="center"/>
          </w:tcPr>
          <w:p w14:paraId="1695C4E6">
            <w:pPr>
              <w:spacing w:line="320" w:lineRule="exact"/>
              <w:jc w:val="center"/>
              <w:rPr>
                <w:sz w:val="18"/>
                <w:szCs w:val="18"/>
              </w:rPr>
            </w:pPr>
            <w:r>
              <w:rPr>
                <w:sz w:val="18"/>
                <w:szCs w:val="18"/>
              </w:rPr>
              <w:t>√</w:t>
            </w:r>
          </w:p>
        </w:tc>
        <w:tc>
          <w:tcPr>
            <w:tcW w:w="1624" w:type="dxa"/>
            <w:tcBorders>
              <w:top w:val="single" w:color="auto" w:sz="8" w:space="0"/>
            </w:tcBorders>
            <w:vAlign w:val="center"/>
          </w:tcPr>
          <w:p w14:paraId="1771B2A9">
            <w:pPr>
              <w:spacing w:line="320" w:lineRule="exact"/>
              <w:jc w:val="center"/>
              <w:rPr>
                <w:sz w:val="18"/>
                <w:szCs w:val="18"/>
              </w:rPr>
            </w:pPr>
            <w:r>
              <w:rPr>
                <w:szCs w:val="18"/>
              </w:rPr>
              <w:t>—</w:t>
            </w:r>
          </w:p>
        </w:tc>
      </w:tr>
      <w:tr w14:paraId="3C7D89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vAlign w:val="center"/>
          </w:tcPr>
          <w:p w14:paraId="1C8B2ACB">
            <w:pPr>
              <w:pStyle w:val="117"/>
              <w:numPr>
                <w:ilvl w:val="0"/>
                <w:numId w:val="15"/>
              </w:numPr>
              <w:ind w:firstLine="420"/>
              <w:rPr>
                <w:rFonts w:ascii="Times New Roman"/>
                <w:szCs w:val="18"/>
              </w:rPr>
            </w:pPr>
          </w:p>
        </w:tc>
        <w:tc>
          <w:tcPr>
            <w:tcW w:w="1603" w:type="dxa"/>
            <w:vAlign w:val="center"/>
          </w:tcPr>
          <w:p w14:paraId="1CAFF4B8">
            <w:pPr>
              <w:pStyle w:val="117"/>
              <w:rPr>
                <w:rFonts w:ascii="Times New Roman"/>
                <w:szCs w:val="18"/>
              </w:rPr>
            </w:pPr>
            <w:r>
              <w:rPr>
                <w:rFonts w:ascii="Times New Roman"/>
                <w:szCs w:val="18"/>
              </w:rPr>
              <w:t>气候</w:t>
            </w:r>
            <w:r>
              <w:rPr>
                <w:rFonts w:hint="eastAsia" w:ascii="Times New Roman"/>
                <w:szCs w:val="18"/>
              </w:rPr>
              <w:t>环境</w:t>
            </w:r>
            <w:r>
              <w:rPr>
                <w:rFonts w:ascii="Times New Roman"/>
                <w:szCs w:val="18"/>
              </w:rPr>
              <w:t>影响</w:t>
            </w:r>
          </w:p>
        </w:tc>
        <w:tc>
          <w:tcPr>
            <w:tcW w:w="1963" w:type="dxa"/>
            <w:vAlign w:val="center"/>
          </w:tcPr>
          <w:p w14:paraId="0EDAE9E4">
            <w:pPr>
              <w:pStyle w:val="117"/>
              <w:rPr>
                <w:rFonts w:ascii="Times New Roman"/>
                <w:szCs w:val="18"/>
              </w:rPr>
            </w:pPr>
            <w:r>
              <w:rPr>
                <w:rFonts w:ascii="Times New Roman"/>
                <w:szCs w:val="18"/>
              </w:rPr>
              <w:t>5.2</w:t>
            </w:r>
          </w:p>
        </w:tc>
        <w:tc>
          <w:tcPr>
            <w:tcW w:w="1612" w:type="dxa"/>
            <w:vAlign w:val="center"/>
          </w:tcPr>
          <w:p w14:paraId="24CFAF21">
            <w:pPr>
              <w:pStyle w:val="117"/>
              <w:rPr>
                <w:rFonts w:ascii="Times New Roman"/>
                <w:szCs w:val="18"/>
              </w:rPr>
            </w:pPr>
            <w:r>
              <w:rPr>
                <w:rFonts w:ascii="Times New Roman"/>
                <w:szCs w:val="18"/>
              </w:rPr>
              <w:t>6.2</w:t>
            </w:r>
          </w:p>
        </w:tc>
        <w:tc>
          <w:tcPr>
            <w:tcW w:w="1612" w:type="dxa"/>
            <w:vAlign w:val="center"/>
          </w:tcPr>
          <w:p w14:paraId="7447A4F5">
            <w:pPr>
              <w:spacing w:line="320" w:lineRule="exact"/>
              <w:jc w:val="center"/>
              <w:rPr>
                <w:sz w:val="18"/>
                <w:szCs w:val="18"/>
              </w:rPr>
            </w:pPr>
            <w:r>
              <w:rPr>
                <w:sz w:val="18"/>
                <w:szCs w:val="18"/>
              </w:rPr>
              <w:t>√</w:t>
            </w:r>
          </w:p>
        </w:tc>
        <w:tc>
          <w:tcPr>
            <w:tcW w:w="1624" w:type="dxa"/>
            <w:vAlign w:val="center"/>
          </w:tcPr>
          <w:p w14:paraId="38066A5E">
            <w:pPr>
              <w:spacing w:line="320" w:lineRule="exact"/>
              <w:jc w:val="center"/>
              <w:rPr>
                <w:sz w:val="18"/>
                <w:szCs w:val="18"/>
              </w:rPr>
            </w:pPr>
            <w:r>
              <w:rPr>
                <w:szCs w:val="18"/>
              </w:rPr>
              <w:t>—</w:t>
            </w:r>
          </w:p>
        </w:tc>
      </w:tr>
      <w:tr w14:paraId="25768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vAlign w:val="center"/>
          </w:tcPr>
          <w:p w14:paraId="2D3725AB">
            <w:pPr>
              <w:pStyle w:val="117"/>
              <w:numPr>
                <w:ilvl w:val="0"/>
                <w:numId w:val="15"/>
              </w:numPr>
              <w:ind w:firstLine="420"/>
              <w:rPr>
                <w:rFonts w:ascii="Times New Roman"/>
                <w:szCs w:val="18"/>
              </w:rPr>
            </w:pPr>
          </w:p>
        </w:tc>
        <w:tc>
          <w:tcPr>
            <w:tcW w:w="1603" w:type="dxa"/>
            <w:vAlign w:val="center"/>
          </w:tcPr>
          <w:p w14:paraId="442358C7">
            <w:pPr>
              <w:pStyle w:val="117"/>
              <w:rPr>
                <w:rFonts w:ascii="Times New Roman"/>
                <w:szCs w:val="18"/>
              </w:rPr>
            </w:pPr>
            <w:r>
              <w:rPr>
                <w:rFonts w:ascii="Times New Roman"/>
                <w:szCs w:val="18"/>
              </w:rPr>
              <w:t>外观和标识</w:t>
            </w:r>
          </w:p>
        </w:tc>
        <w:tc>
          <w:tcPr>
            <w:tcW w:w="1963" w:type="dxa"/>
            <w:vAlign w:val="center"/>
          </w:tcPr>
          <w:p w14:paraId="2BA1DAEB">
            <w:pPr>
              <w:pStyle w:val="117"/>
              <w:rPr>
                <w:rFonts w:ascii="Times New Roman"/>
                <w:szCs w:val="18"/>
              </w:rPr>
            </w:pPr>
            <w:r>
              <w:rPr>
                <w:rFonts w:ascii="Times New Roman"/>
                <w:szCs w:val="18"/>
              </w:rPr>
              <w:t>5.3</w:t>
            </w:r>
          </w:p>
        </w:tc>
        <w:tc>
          <w:tcPr>
            <w:tcW w:w="1612" w:type="dxa"/>
            <w:vAlign w:val="center"/>
          </w:tcPr>
          <w:p w14:paraId="6C5826A8">
            <w:pPr>
              <w:pStyle w:val="117"/>
              <w:rPr>
                <w:rFonts w:ascii="Times New Roman"/>
                <w:szCs w:val="18"/>
              </w:rPr>
            </w:pPr>
            <w:r>
              <w:rPr>
                <w:rFonts w:ascii="Times New Roman"/>
                <w:szCs w:val="18"/>
              </w:rPr>
              <w:t>6.3</w:t>
            </w:r>
          </w:p>
        </w:tc>
        <w:tc>
          <w:tcPr>
            <w:tcW w:w="1612" w:type="dxa"/>
            <w:vAlign w:val="center"/>
          </w:tcPr>
          <w:p w14:paraId="21BF4066">
            <w:pPr>
              <w:spacing w:line="320" w:lineRule="exact"/>
              <w:jc w:val="center"/>
              <w:rPr>
                <w:sz w:val="18"/>
                <w:szCs w:val="18"/>
              </w:rPr>
            </w:pPr>
            <w:r>
              <w:rPr>
                <w:sz w:val="18"/>
                <w:szCs w:val="18"/>
              </w:rPr>
              <w:t>√</w:t>
            </w:r>
          </w:p>
        </w:tc>
        <w:tc>
          <w:tcPr>
            <w:tcW w:w="1624" w:type="dxa"/>
            <w:vAlign w:val="center"/>
          </w:tcPr>
          <w:p w14:paraId="271BB9E4">
            <w:pPr>
              <w:spacing w:line="320" w:lineRule="exact"/>
              <w:jc w:val="center"/>
              <w:rPr>
                <w:sz w:val="18"/>
                <w:szCs w:val="18"/>
              </w:rPr>
            </w:pPr>
            <w:r>
              <w:rPr>
                <w:sz w:val="18"/>
                <w:szCs w:val="18"/>
              </w:rPr>
              <w:t>√</w:t>
            </w:r>
          </w:p>
        </w:tc>
      </w:tr>
      <w:tr w14:paraId="00D440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vAlign w:val="center"/>
          </w:tcPr>
          <w:p w14:paraId="63ECC1B3">
            <w:pPr>
              <w:pStyle w:val="117"/>
              <w:numPr>
                <w:ilvl w:val="0"/>
                <w:numId w:val="15"/>
              </w:numPr>
              <w:ind w:firstLine="420"/>
              <w:rPr>
                <w:rFonts w:ascii="Times New Roman"/>
                <w:szCs w:val="18"/>
              </w:rPr>
            </w:pPr>
          </w:p>
        </w:tc>
        <w:tc>
          <w:tcPr>
            <w:tcW w:w="1603" w:type="dxa"/>
            <w:vAlign w:val="center"/>
          </w:tcPr>
          <w:p w14:paraId="566CCF16">
            <w:pPr>
              <w:pStyle w:val="117"/>
              <w:rPr>
                <w:rFonts w:ascii="Times New Roman"/>
                <w:szCs w:val="18"/>
              </w:rPr>
            </w:pPr>
            <w:r>
              <w:rPr>
                <w:rFonts w:ascii="Times New Roman"/>
                <w:szCs w:val="18"/>
              </w:rPr>
              <w:t>电气性能</w:t>
            </w:r>
          </w:p>
        </w:tc>
        <w:tc>
          <w:tcPr>
            <w:tcW w:w="1963" w:type="dxa"/>
            <w:vAlign w:val="center"/>
          </w:tcPr>
          <w:p w14:paraId="569B8284">
            <w:pPr>
              <w:pStyle w:val="117"/>
              <w:rPr>
                <w:rFonts w:ascii="Times New Roman"/>
                <w:szCs w:val="18"/>
              </w:rPr>
            </w:pPr>
            <w:r>
              <w:rPr>
                <w:rFonts w:ascii="Times New Roman"/>
                <w:szCs w:val="18"/>
              </w:rPr>
              <w:t>5.4</w:t>
            </w:r>
          </w:p>
        </w:tc>
        <w:tc>
          <w:tcPr>
            <w:tcW w:w="1612" w:type="dxa"/>
            <w:vAlign w:val="center"/>
          </w:tcPr>
          <w:p w14:paraId="4054A13E">
            <w:pPr>
              <w:pStyle w:val="117"/>
              <w:rPr>
                <w:rFonts w:ascii="Times New Roman"/>
                <w:szCs w:val="18"/>
              </w:rPr>
            </w:pPr>
            <w:r>
              <w:rPr>
                <w:rFonts w:ascii="Times New Roman"/>
                <w:szCs w:val="18"/>
              </w:rPr>
              <w:t>6.4</w:t>
            </w:r>
          </w:p>
        </w:tc>
        <w:tc>
          <w:tcPr>
            <w:tcW w:w="1612" w:type="dxa"/>
            <w:vAlign w:val="center"/>
          </w:tcPr>
          <w:p w14:paraId="12F2811B">
            <w:pPr>
              <w:spacing w:line="320" w:lineRule="exact"/>
              <w:jc w:val="center"/>
              <w:rPr>
                <w:sz w:val="18"/>
                <w:szCs w:val="18"/>
              </w:rPr>
            </w:pPr>
            <w:r>
              <w:rPr>
                <w:sz w:val="18"/>
                <w:szCs w:val="18"/>
              </w:rPr>
              <w:t>√</w:t>
            </w:r>
          </w:p>
        </w:tc>
        <w:tc>
          <w:tcPr>
            <w:tcW w:w="1624" w:type="dxa"/>
            <w:vAlign w:val="center"/>
          </w:tcPr>
          <w:p w14:paraId="758758DB">
            <w:pPr>
              <w:spacing w:line="320" w:lineRule="exact"/>
              <w:jc w:val="center"/>
              <w:rPr>
                <w:sz w:val="18"/>
                <w:szCs w:val="18"/>
              </w:rPr>
            </w:pPr>
            <w:r>
              <w:rPr>
                <w:szCs w:val="18"/>
              </w:rPr>
              <w:t>—</w:t>
            </w:r>
          </w:p>
        </w:tc>
      </w:tr>
      <w:tr w14:paraId="1DC0DA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vAlign w:val="center"/>
          </w:tcPr>
          <w:p w14:paraId="6A02B1B3">
            <w:pPr>
              <w:pStyle w:val="117"/>
              <w:numPr>
                <w:ilvl w:val="0"/>
                <w:numId w:val="15"/>
              </w:numPr>
              <w:ind w:firstLine="420"/>
              <w:rPr>
                <w:rFonts w:ascii="Times New Roman"/>
                <w:szCs w:val="18"/>
              </w:rPr>
            </w:pPr>
          </w:p>
        </w:tc>
        <w:tc>
          <w:tcPr>
            <w:tcW w:w="1603" w:type="dxa"/>
            <w:vAlign w:val="center"/>
          </w:tcPr>
          <w:p w14:paraId="642AA55F">
            <w:pPr>
              <w:pStyle w:val="117"/>
              <w:rPr>
                <w:rFonts w:ascii="Times New Roman"/>
                <w:szCs w:val="18"/>
              </w:rPr>
            </w:pPr>
            <w:r>
              <w:rPr>
                <w:rFonts w:ascii="Times New Roman"/>
                <w:szCs w:val="18"/>
              </w:rPr>
              <w:t>外部影响</w:t>
            </w:r>
          </w:p>
        </w:tc>
        <w:tc>
          <w:tcPr>
            <w:tcW w:w="1963" w:type="dxa"/>
            <w:vAlign w:val="center"/>
          </w:tcPr>
          <w:p w14:paraId="06309953">
            <w:pPr>
              <w:pStyle w:val="117"/>
              <w:rPr>
                <w:rFonts w:ascii="Times New Roman"/>
                <w:szCs w:val="18"/>
              </w:rPr>
            </w:pPr>
            <w:r>
              <w:rPr>
                <w:rFonts w:ascii="Times New Roman"/>
                <w:szCs w:val="18"/>
              </w:rPr>
              <w:t>5.5</w:t>
            </w:r>
          </w:p>
        </w:tc>
        <w:tc>
          <w:tcPr>
            <w:tcW w:w="1612" w:type="dxa"/>
            <w:vAlign w:val="center"/>
          </w:tcPr>
          <w:p w14:paraId="40D4D8FB">
            <w:pPr>
              <w:pStyle w:val="117"/>
              <w:rPr>
                <w:rFonts w:ascii="Times New Roman"/>
                <w:szCs w:val="18"/>
              </w:rPr>
            </w:pPr>
            <w:r>
              <w:rPr>
                <w:rFonts w:ascii="Times New Roman"/>
                <w:szCs w:val="18"/>
              </w:rPr>
              <w:t>6.5</w:t>
            </w:r>
          </w:p>
        </w:tc>
        <w:tc>
          <w:tcPr>
            <w:tcW w:w="1612" w:type="dxa"/>
            <w:vAlign w:val="center"/>
          </w:tcPr>
          <w:p w14:paraId="77EFE79B">
            <w:pPr>
              <w:spacing w:line="320" w:lineRule="exact"/>
              <w:jc w:val="center"/>
              <w:rPr>
                <w:sz w:val="18"/>
                <w:szCs w:val="18"/>
              </w:rPr>
            </w:pPr>
            <w:r>
              <w:rPr>
                <w:sz w:val="18"/>
                <w:szCs w:val="18"/>
              </w:rPr>
              <w:t>√</w:t>
            </w:r>
          </w:p>
        </w:tc>
        <w:tc>
          <w:tcPr>
            <w:tcW w:w="1624" w:type="dxa"/>
            <w:vAlign w:val="center"/>
          </w:tcPr>
          <w:p w14:paraId="7DEA99F8">
            <w:pPr>
              <w:spacing w:line="320" w:lineRule="exact"/>
              <w:jc w:val="center"/>
              <w:rPr>
                <w:sz w:val="18"/>
                <w:szCs w:val="18"/>
              </w:rPr>
            </w:pPr>
            <w:r>
              <w:rPr>
                <w:szCs w:val="18"/>
              </w:rPr>
              <w:t>—</w:t>
            </w:r>
          </w:p>
        </w:tc>
      </w:tr>
      <w:tr w14:paraId="27FE3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vAlign w:val="center"/>
          </w:tcPr>
          <w:p w14:paraId="61C7BA96">
            <w:pPr>
              <w:pStyle w:val="117"/>
              <w:numPr>
                <w:ilvl w:val="0"/>
                <w:numId w:val="15"/>
              </w:numPr>
              <w:ind w:firstLine="420"/>
              <w:rPr>
                <w:rFonts w:ascii="Times New Roman"/>
                <w:szCs w:val="18"/>
              </w:rPr>
            </w:pPr>
          </w:p>
        </w:tc>
        <w:tc>
          <w:tcPr>
            <w:tcW w:w="1603" w:type="dxa"/>
            <w:vAlign w:val="center"/>
          </w:tcPr>
          <w:p w14:paraId="42446484">
            <w:pPr>
              <w:pStyle w:val="117"/>
              <w:rPr>
                <w:rFonts w:ascii="Times New Roman"/>
                <w:szCs w:val="18"/>
              </w:rPr>
            </w:pPr>
            <w:r>
              <w:rPr>
                <w:rFonts w:hint="eastAsia" w:ascii="Times New Roman"/>
                <w:szCs w:val="18"/>
              </w:rPr>
              <w:t>电碳计量准确度</w:t>
            </w:r>
          </w:p>
        </w:tc>
        <w:tc>
          <w:tcPr>
            <w:tcW w:w="1963" w:type="dxa"/>
            <w:vAlign w:val="center"/>
          </w:tcPr>
          <w:p w14:paraId="47E3991D">
            <w:pPr>
              <w:pStyle w:val="117"/>
              <w:rPr>
                <w:rFonts w:ascii="Times New Roman"/>
                <w:szCs w:val="18"/>
              </w:rPr>
            </w:pPr>
            <w:r>
              <w:rPr>
                <w:rFonts w:ascii="Times New Roman"/>
                <w:szCs w:val="18"/>
              </w:rPr>
              <w:t>5.6.1</w:t>
            </w:r>
          </w:p>
        </w:tc>
        <w:tc>
          <w:tcPr>
            <w:tcW w:w="1612" w:type="dxa"/>
            <w:vAlign w:val="center"/>
          </w:tcPr>
          <w:p w14:paraId="280B900C">
            <w:pPr>
              <w:pStyle w:val="117"/>
              <w:rPr>
                <w:rFonts w:ascii="Times New Roman"/>
                <w:szCs w:val="18"/>
              </w:rPr>
            </w:pPr>
            <w:r>
              <w:rPr>
                <w:rFonts w:ascii="Times New Roman"/>
                <w:szCs w:val="18"/>
              </w:rPr>
              <w:t>6.6.1</w:t>
            </w:r>
          </w:p>
        </w:tc>
        <w:tc>
          <w:tcPr>
            <w:tcW w:w="1612" w:type="dxa"/>
            <w:vAlign w:val="center"/>
          </w:tcPr>
          <w:p w14:paraId="20F4325F">
            <w:pPr>
              <w:spacing w:line="320" w:lineRule="exact"/>
              <w:jc w:val="center"/>
              <w:rPr>
                <w:sz w:val="18"/>
                <w:szCs w:val="18"/>
              </w:rPr>
            </w:pPr>
            <w:r>
              <w:rPr>
                <w:sz w:val="18"/>
                <w:szCs w:val="18"/>
              </w:rPr>
              <w:t>√</w:t>
            </w:r>
          </w:p>
        </w:tc>
        <w:tc>
          <w:tcPr>
            <w:tcW w:w="1624" w:type="dxa"/>
            <w:vAlign w:val="center"/>
          </w:tcPr>
          <w:p w14:paraId="54AB6608">
            <w:pPr>
              <w:spacing w:line="320" w:lineRule="exact"/>
              <w:jc w:val="center"/>
              <w:rPr>
                <w:sz w:val="18"/>
                <w:szCs w:val="18"/>
              </w:rPr>
            </w:pPr>
            <w:r>
              <w:rPr>
                <w:sz w:val="18"/>
                <w:szCs w:val="18"/>
              </w:rPr>
              <w:t>√</w:t>
            </w:r>
          </w:p>
        </w:tc>
      </w:tr>
      <w:tr w14:paraId="39937B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vAlign w:val="center"/>
          </w:tcPr>
          <w:p w14:paraId="5C4E9480">
            <w:pPr>
              <w:pStyle w:val="117"/>
              <w:numPr>
                <w:ilvl w:val="0"/>
                <w:numId w:val="15"/>
              </w:numPr>
              <w:ind w:firstLine="420"/>
              <w:rPr>
                <w:rFonts w:ascii="Times New Roman"/>
                <w:szCs w:val="18"/>
              </w:rPr>
            </w:pPr>
          </w:p>
        </w:tc>
        <w:tc>
          <w:tcPr>
            <w:tcW w:w="1603" w:type="dxa"/>
            <w:vAlign w:val="center"/>
          </w:tcPr>
          <w:p w14:paraId="166B1273">
            <w:pPr>
              <w:pStyle w:val="117"/>
              <w:rPr>
                <w:rFonts w:ascii="Times New Roman"/>
                <w:szCs w:val="18"/>
              </w:rPr>
            </w:pPr>
            <w:r>
              <w:rPr>
                <w:rFonts w:hint="eastAsia" w:ascii="Times New Roman"/>
                <w:szCs w:val="18"/>
              </w:rPr>
              <w:t>计时准确度</w:t>
            </w:r>
          </w:p>
        </w:tc>
        <w:tc>
          <w:tcPr>
            <w:tcW w:w="1963" w:type="dxa"/>
            <w:vAlign w:val="center"/>
          </w:tcPr>
          <w:p w14:paraId="73B1DD66">
            <w:pPr>
              <w:pStyle w:val="117"/>
              <w:rPr>
                <w:rFonts w:ascii="Times New Roman"/>
                <w:szCs w:val="18"/>
              </w:rPr>
            </w:pPr>
            <w:r>
              <w:rPr>
                <w:rFonts w:ascii="Times New Roman"/>
                <w:szCs w:val="18"/>
              </w:rPr>
              <w:t>5.6.2</w:t>
            </w:r>
          </w:p>
        </w:tc>
        <w:tc>
          <w:tcPr>
            <w:tcW w:w="1612" w:type="dxa"/>
            <w:vAlign w:val="center"/>
          </w:tcPr>
          <w:p w14:paraId="65FEC8E6">
            <w:pPr>
              <w:pStyle w:val="117"/>
              <w:rPr>
                <w:rFonts w:ascii="Times New Roman"/>
                <w:szCs w:val="18"/>
              </w:rPr>
            </w:pPr>
            <w:r>
              <w:rPr>
                <w:rFonts w:ascii="Times New Roman"/>
                <w:szCs w:val="18"/>
              </w:rPr>
              <w:t>6.6.2</w:t>
            </w:r>
          </w:p>
        </w:tc>
        <w:tc>
          <w:tcPr>
            <w:tcW w:w="1612" w:type="dxa"/>
            <w:vAlign w:val="center"/>
          </w:tcPr>
          <w:p w14:paraId="6D90CF7F">
            <w:pPr>
              <w:spacing w:line="320" w:lineRule="exact"/>
              <w:jc w:val="center"/>
              <w:rPr>
                <w:sz w:val="18"/>
                <w:szCs w:val="18"/>
              </w:rPr>
            </w:pPr>
            <w:r>
              <w:rPr>
                <w:sz w:val="18"/>
                <w:szCs w:val="18"/>
              </w:rPr>
              <w:t>√</w:t>
            </w:r>
          </w:p>
        </w:tc>
        <w:tc>
          <w:tcPr>
            <w:tcW w:w="1624" w:type="dxa"/>
            <w:vAlign w:val="center"/>
          </w:tcPr>
          <w:p w14:paraId="311197F3">
            <w:pPr>
              <w:spacing w:line="320" w:lineRule="exact"/>
              <w:jc w:val="center"/>
              <w:rPr>
                <w:sz w:val="18"/>
                <w:szCs w:val="18"/>
              </w:rPr>
            </w:pPr>
            <w:r>
              <w:rPr>
                <w:sz w:val="18"/>
                <w:szCs w:val="18"/>
              </w:rPr>
              <w:t>√</w:t>
            </w:r>
          </w:p>
        </w:tc>
      </w:tr>
      <w:tr w14:paraId="78E60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vAlign w:val="center"/>
          </w:tcPr>
          <w:p w14:paraId="52BF1C55">
            <w:pPr>
              <w:pStyle w:val="117"/>
              <w:numPr>
                <w:ilvl w:val="0"/>
                <w:numId w:val="15"/>
              </w:numPr>
              <w:ind w:firstLine="420"/>
              <w:rPr>
                <w:rFonts w:ascii="Times New Roman"/>
                <w:szCs w:val="18"/>
              </w:rPr>
            </w:pPr>
          </w:p>
        </w:tc>
        <w:tc>
          <w:tcPr>
            <w:tcW w:w="1603" w:type="dxa"/>
            <w:vAlign w:val="center"/>
          </w:tcPr>
          <w:p w14:paraId="70A46B3A">
            <w:pPr>
              <w:pStyle w:val="117"/>
              <w:rPr>
                <w:rFonts w:ascii="Times New Roman"/>
                <w:szCs w:val="18"/>
              </w:rPr>
            </w:pPr>
            <w:r>
              <w:rPr>
                <w:rFonts w:hint="eastAsia" w:ascii="Times New Roman"/>
                <w:szCs w:val="18"/>
              </w:rPr>
              <w:t>数据存储</w:t>
            </w:r>
          </w:p>
        </w:tc>
        <w:tc>
          <w:tcPr>
            <w:tcW w:w="1963" w:type="dxa"/>
            <w:vAlign w:val="center"/>
          </w:tcPr>
          <w:p w14:paraId="4EBA8C74">
            <w:pPr>
              <w:pStyle w:val="117"/>
              <w:rPr>
                <w:rFonts w:ascii="Times New Roman"/>
                <w:szCs w:val="18"/>
              </w:rPr>
            </w:pPr>
            <w:r>
              <w:rPr>
                <w:rFonts w:ascii="Times New Roman"/>
                <w:szCs w:val="18"/>
              </w:rPr>
              <w:t>5.7</w:t>
            </w:r>
            <w:r>
              <w:rPr>
                <w:rFonts w:hint="eastAsia" w:ascii="Times New Roman"/>
                <w:szCs w:val="18"/>
              </w:rPr>
              <w:t>.1</w:t>
            </w:r>
          </w:p>
        </w:tc>
        <w:tc>
          <w:tcPr>
            <w:tcW w:w="1612" w:type="dxa"/>
            <w:vAlign w:val="center"/>
          </w:tcPr>
          <w:p w14:paraId="50B07681">
            <w:pPr>
              <w:pStyle w:val="117"/>
              <w:rPr>
                <w:rFonts w:ascii="Times New Roman"/>
                <w:szCs w:val="18"/>
              </w:rPr>
            </w:pPr>
            <w:r>
              <w:rPr>
                <w:rFonts w:hint="eastAsia" w:ascii="Times New Roman"/>
                <w:szCs w:val="18"/>
              </w:rPr>
              <w:t>6</w:t>
            </w:r>
            <w:r>
              <w:rPr>
                <w:rFonts w:ascii="Times New Roman"/>
                <w:szCs w:val="18"/>
              </w:rPr>
              <w:t>.7</w:t>
            </w:r>
            <w:r>
              <w:rPr>
                <w:rFonts w:hint="eastAsia" w:ascii="Times New Roman"/>
                <w:szCs w:val="18"/>
              </w:rPr>
              <w:t>.1</w:t>
            </w:r>
          </w:p>
        </w:tc>
        <w:tc>
          <w:tcPr>
            <w:tcW w:w="1612" w:type="dxa"/>
            <w:vAlign w:val="center"/>
          </w:tcPr>
          <w:p w14:paraId="6289A95D">
            <w:pPr>
              <w:spacing w:line="320" w:lineRule="exact"/>
              <w:jc w:val="center"/>
              <w:rPr>
                <w:sz w:val="18"/>
                <w:szCs w:val="18"/>
              </w:rPr>
            </w:pPr>
            <w:r>
              <w:rPr>
                <w:sz w:val="18"/>
                <w:szCs w:val="18"/>
              </w:rPr>
              <w:t>√</w:t>
            </w:r>
          </w:p>
        </w:tc>
        <w:tc>
          <w:tcPr>
            <w:tcW w:w="1624" w:type="dxa"/>
            <w:vAlign w:val="center"/>
          </w:tcPr>
          <w:p w14:paraId="2091AFCF">
            <w:pPr>
              <w:spacing w:line="320" w:lineRule="exact"/>
              <w:jc w:val="center"/>
              <w:rPr>
                <w:sz w:val="18"/>
                <w:szCs w:val="18"/>
              </w:rPr>
            </w:pPr>
            <w:r>
              <w:rPr>
                <w:sz w:val="18"/>
                <w:szCs w:val="18"/>
              </w:rPr>
              <w:t>√</w:t>
            </w:r>
          </w:p>
        </w:tc>
      </w:tr>
      <w:tr w14:paraId="1F6054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9" w:type="dxa"/>
            <w:vAlign w:val="center"/>
          </w:tcPr>
          <w:p w14:paraId="707CCF60">
            <w:pPr>
              <w:pStyle w:val="117"/>
              <w:numPr>
                <w:ilvl w:val="0"/>
                <w:numId w:val="15"/>
              </w:numPr>
              <w:ind w:firstLine="420"/>
              <w:rPr>
                <w:rFonts w:ascii="Times New Roman"/>
                <w:szCs w:val="18"/>
              </w:rPr>
            </w:pPr>
          </w:p>
        </w:tc>
        <w:tc>
          <w:tcPr>
            <w:tcW w:w="1603" w:type="dxa"/>
            <w:vAlign w:val="center"/>
          </w:tcPr>
          <w:p w14:paraId="6DF28E43">
            <w:pPr>
              <w:pStyle w:val="117"/>
              <w:rPr>
                <w:rFonts w:ascii="Times New Roman"/>
                <w:szCs w:val="18"/>
              </w:rPr>
            </w:pPr>
            <w:r>
              <w:rPr>
                <w:rFonts w:ascii="Times New Roman"/>
                <w:szCs w:val="18"/>
              </w:rPr>
              <w:t>通信</w:t>
            </w:r>
          </w:p>
        </w:tc>
        <w:tc>
          <w:tcPr>
            <w:tcW w:w="1963" w:type="dxa"/>
            <w:vAlign w:val="center"/>
          </w:tcPr>
          <w:p w14:paraId="34F2E9AE">
            <w:pPr>
              <w:pStyle w:val="117"/>
              <w:rPr>
                <w:rFonts w:ascii="Times New Roman"/>
                <w:szCs w:val="18"/>
              </w:rPr>
            </w:pPr>
            <w:r>
              <w:rPr>
                <w:rFonts w:hint="eastAsia" w:ascii="Times New Roman"/>
                <w:szCs w:val="18"/>
              </w:rPr>
              <w:t>5</w:t>
            </w:r>
            <w:r>
              <w:rPr>
                <w:rFonts w:ascii="Times New Roman"/>
                <w:szCs w:val="18"/>
              </w:rPr>
              <w:t>.</w:t>
            </w:r>
            <w:r>
              <w:rPr>
                <w:rFonts w:hint="eastAsia" w:ascii="Times New Roman"/>
                <w:szCs w:val="18"/>
              </w:rPr>
              <w:t>7.2</w:t>
            </w:r>
          </w:p>
        </w:tc>
        <w:tc>
          <w:tcPr>
            <w:tcW w:w="1612" w:type="dxa"/>
            <w:vAlign w:val="center"/>
          </w:tcPr>
          <w:p w14:paraId="20F4CFDE">
            <w:pPr>
              <w:pStyle w:val="117"/>
              <w:rPr>
                <w:rFonts w:ascii="Times New Roman"/>
                <w:szCs w:val="18"/>
              </w:rPr>
            </w:pPr>
            <w:r>
              <w:rPr>
                <w:rFonts w:hint="eastAsia" w:ascii="Times New Roman"/>
                <w:szCs w:val="18"/>
              </w:rPr>
              <w:t>6</w:t>
            </w:r>
            <w:r>
              <w:rPr>
                <w:rFonts w:ascii="Times New Roman"/>
                <w:szCs w:val="18"/>
              </w:rPr>
              <w:t>.</w:t>
            </w:r>
            <w:r>
              <w:rPr>
                <w:rFonts w:hint="eastAsia" w:ascii="Times New Roman"/>
                <w:szCs w:val="18"/>
              </w:rPr>
              <w:t>7.2</w:t>
            </w:r>
          </w:p>
        </w:tc>
        <w:tc>
          <w:tcPr>
            <w:tcW w:w="1612" w:type="dxa"/>
            <w:vAlign w:val="center"/>
          </w:tcPr>
          <w:p w14:paraId="3C61D251">
            <w:pPr>
              <w:spacing w:line="320" w:lineRule="exact"/>
              <w:jc w:val="center"/>
              <w:rPr>
                <w:sz w:val="18"/>
                <w:szCs w:val="18"/>
              </w:rPr>
            </w:pPr>
            <w:r>
              <w:rPr>
                <w:sz w:val="18"/>
                <w:szCs w:val="18"/>
              </w:rPr>
              <w:t>√</w:t>
            </w:r>
          </w:p>
        </w:tc>
        <w:tc>
          <w:tcPr>
            <w:tcW w:w="1624" w:type="dxa"/>
            <w:vAlign w:val="center"/>
          </w:tcPr>
          <w:p w14:paraId="1BE4CD28">
            <w:pPr>
              <w:spacing w:line="320" w:lineRule="exact"/>
              <w:jc w:val="center"/>
              <w:rPr>
                <w:sz w:val="18"/>
                <w:szCs w:val="18"/>
              </w:rPr>
            </w:pPr>
            <w:r>
              <w:rPr>
                <w:sz w:val="18"/>
                <w:szCs w:val="18"/>
              </w:rPr>
              <w:t>√</w:t>
            </w:r>
          </w:p>
        </w:tc>
      </w:tr>
      <w:tr w14:paraId="697CA1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9353" w:type="dxa"/>
            <w:gridSpan w:val="6"/>
            <w:vAlign w:val="center"/>
          </w:tcPr>
          <w:p w14:paraId="6EEEF020">
            <w:pPr>
              <w:spacing w:line="320" w:lineRule="exact"/>
              <w:rPr>
                <w:sz w:val="18"/>
                <w:szCs w:val="18"/>
              </w:rPr>
            </w:pPr>
            <w:r>
              <w:rPr>
                <w:szCs w:val="18"/>
              </w:rPr>
              <w:t>注：√ 代表应进行试验的项目；— 代表不进行试验的项目</w:t>
            </w:r>
          </w:p>
        </w:tc>
      </w:tr>
    </w:tbl>
    <w:p w14:paraId="32928ABC"/>
    <w:p w14:paraId="528DC6FB">
      <w:r>
        <w:pict>
          <v:shape id="AutoShape 23" o:spid="_x0000_s1027" o:spt="32" type="#_x0000_t32" style="position:absolute;left:0pt;margin-left:73.15pt;margin-top:12.35pt;height:0pt;width:275.1pt;z-index:251662336;mso-width-relative:page;mso-height-relative:page;" filled="f" coordsize="21600,21600" o:gfxdata="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g/nIx1wAAAAkBAAAPAAAAAAAAAAEA&#10;IAAAACIAAABkcnMvZG93bnJldi54bWxQSwECFAAUAAAACACHTuJAmfOMRNcBAACzAwAADgAAAAAA&#10;AAABACAAAAAmAQAAZHJzL2Uyb0RvYy54bWxQSwUGAAAAAAYABgBZAQAAbwUAAAAA&#10;">
            <v:path arrowok="t"/>
            <v:fill on="f" focussize="0,0"/>
            <v:stroke/>
            <v:imagedata o:title=""/>
            <o:lock v:ext="edit"/>
          </v:shape>
        </w:pict>
      </w:r>
    </w:p>
    <w:p w14:paraId="076A58A9">
      <w:pPr>
        <w:pStyle w:val="49"/>
        <w:tabs>
          <w:tab w:val="center" w:pos="4201"/>
          <w:tab w:val="right" w:leader="dot" w:pos="9298"/>
        </w:tabs>
        <w:ind w:firstLine="420"/>
        <w:rPr>
          <w:rFonts w:ascii="Times New Roman"/>
        </w:rPr>
      </w:pPr>
    </w:p>
    <w:sectPr>
      <w:footerReference r:id="rId7" w:type="default"/>
      <w:pgSz w:w="11906" w:h="16838"/>
      <w:pgMar w:top="1440" w:right="1797" w:bottom="1440" w:left="179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2FF" w:usb1="400004FF" w:usb2="00000000" w:usb3="00000000" w:csb0="2000019F"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6437D">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1579">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9275A">
    <w:pPr>
      <w:pStyle w:val="24"/>
      <w:jc w:val="right"/>
    </w:pPr>
    <w:r>
      <w:rPr>
        <w:rFonts w:hint="eastAsia"/>
        <w:lang w:val="en-US" w:eastAsia="zh-CN"/>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88A43">
    <w:pPr>
      <w:pStyle w:val="24"/>
      <w:jc w:val="right"/>
      <w:rPr>
        <w:rFonts w:hint="default"/>
        <w:lang w:val="en-US"/>
      </w:rPr>
    </w:pPr>
    <w:r>
      <w:rPr>
        <w:rFonts w:hint="eastAsia"/>
        <w:lang w:val="en-US" w:eastAsia="zh-CN"/>
      </w:rPr>
      <w:t>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DDF0">
    <w:pPr>
      <w:pStyle w:val="24"/>
      <w:jc w:val="right"/>
    </w:pPr>
    <w:r>
      <w:rPr>
        <w:sz w:val="18"/>
      </w:rPr>
      <w:pict>
        <v:shape id="_x0000_s2051" o:spid="_x0000_s2051"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AD4B24D">
                <w:pPr>
                  <w:pStyle w:val="24"/>
                </w:pPr>
                <w:r>
                  <w:fldChar w:fldCharType="begin"/>
                </w:r>
                <w:r>
                  <w:instrText xml:space="preserve"> PAGE  \* MERGEFORMAT </w:instrText>
                </w:r>
                <w:r>
                  <w:fldChar w:fldCharType="separate"/>
                </w:r>
                <w:r>
                  <w:t>4</w:t>
                </w:r>
                <w:r>
                  <w:fldChar w:fldCharType="end"/>
                </w:r>
              </w:p>
            </w:txbxContent>
          </v:textbox>
        </v:shape>
      </w:pict>
    </w:r>
    <w:r>
      <w:rPr>
        <w:rFonts w:hint="eastAsia"/>
        <w:lang w:val="en-US" w:eastAsia="zh-CN"/>
      </w:rP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47D8FD"/>
    <w:multiLevelType w:val="singleLevel"/>
    <w:tmpl w:val="C047D8FD"/>
    <w:lvl w:ilvl="0" w:tentative="0">
      <w:start w:val="1"/>
      <w:numFmt w:val="lowerLetter"/>
      <w:suff w:val="space"/>
      <w:lvlText w:val="%1)"/>
      <w:lvlJc w:val="left"/>
    </w:lvl>
  </w:abstractNum>
  <w:abstractNum w:abstractNumId="1">
    <w:nsid w:val="C4A35D63"/>
    <w:multiLevelType w:val="singleLevel"/>
    <w:tmpl w:val="C4A35D63"/>
    <w:lvl w:ilvl="0" w:tentative="0">
      <w:start w:val="1"/>
      <w:numFmt w:val="lowerLetter"/>
      <w:suff w:val="space"/>
      <w:lvlText w:val="%1)"/>
      <w:lvlJc w:val="left"/>
      <w:rPr>
        <w:rFonts w:hint="default" w:ascii="Times New Roman" w:hAnsi="Times New Roman" w:cs="Times New Roman"/>
      </w:rPr>
    </w:lvl>
  </w:abstractNum>
  <w:abstractNum w:abstractNumId="2">
    <w:nsid w:val="EFDEF96B"/>
    <w:multiLevelType w:val="singleLevel"/>
    <w:tmpl w:val="EFDEF96B"/>
    <w:lvl w:ilvl="0" w:tentative="0">
      <w:start w:val="1"/>
      <w:numFmt w:val="lowerLetter"/>
      <w:suff w:val="space"/>
      <w:lvlText w:val="%1)"/>
      <w:lvlJc w:val="left"/>
    </w:lvl>
  </w:abstractNum>
  <w:abstractNum w:abstractNumId="3">
    <w:nsid w:val="1E6F7529"/>
    <w:multiLevelType w:val="singleLevel"/>
    <w:tmpl w:val="1E6F7529"/>
    <w:lvl w:ilvl="0" w:tentative="0">
      <w:start w:val="1"/>
      <w:numFmt w:val="lowerLetter"/>
      <w:suff w:val="space"/>
      <w:lvlText w:val="%1)"/>
      <w:lvlJc w:val="left"/>
    </w:lvl>
  </w:abstractNum>
  <w:abstractNum w:abstractNumId="4">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78"/>
      <w:suff w:val="nothing"/>
      <w:lvlText w:val="%1.%2.%3　"/>
      <w:lvlJc w:val="left"/>
      <w:pPr>
        <w:ind w:left="180" w:firstLine="0"/>
      </w:pPr>
      <w:rPr>
        <w:rFonts w:hint="eastAsia" w:ascii="黑体" w:hAnsi="Times New Roman" w:eastAsia="黑体"/>
        <w:b w:val="0"/>
        <w:i w:val="0"/>
        <w:sz w:val="21"/>
      </w:rPr>
    </w:lvl>
    <w:lvl w:ilvl="3" w:tentative="0">
      <w:start w:val="1"/>
      <w:numFmt w:val="decimal"/>
      <w:pStyle w:val="7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8FC08C0"/>
    <w:multiLevelType w:val="multilevel"/>
    <w:tmpl w:val="28FC08C0"/>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100"/>
      <w:lvlText w:val="%2"/>
      <w:lvlJc w:val="left"/>
      <w:pPr>
        <w:tabs>
          <w:tab w:val="left" w:pos="360"/>
        </w:tabs>
        <w:ind w:left="0" w:firstLine="0"/>
      </w:pPr>
      <w:rPr>
        <w:rFonts w:hint="eastAsia" w:ascii="黑体" w:eastAsia="黑体"/>
        <w:b/>
        <w:i w:val="0"/>
        <w:sz w:val="28"/>
      </w:rPr>
    </w:lvl>
    <w:lvl w:ilvl="2" w:tentative="0">
      <w:start w:val="1"/>
      <w:numFmt w:val="decimal"/>
      <w:pStyle w:val="99"/>
      <w:lvlText w:val="%2.%3"/>
      <w:lvlJc w:val="left"/>
      <w:pPr>
        <w:tabs>
          <w:tab w:val="left" w:pos="360"/>
        </w:tabs>
        <w:ind w:left="0" w:firstLine="0"/>
      </w:pPr>
      <w:rPr>
        <w:rFonts w:hint="eastAsia" w:ascii="黑体" w:eastAsia="黑体"/>
        <w:b/>
        <w:i w:val="0"/>
        <w:sz w:val="21"/>
        <w:szCs w:val="21"/>
      </w:rPr>
    </w:lvl>
    <w:lvl w:ilvl="3" w:tentative="0">
      <w:start w:val="1"/>
      <w:numFmt w:val="decimal"/>
      <w:lvlText w:val="%2.%3.%4"/>
      <w:lvlJc w:val="left"/>
      <w:pPr>
        <w:tabs>
          <w:tab w:val="left" w:pos="357"/>
        </w:tabs>
        <w:ind w:left="0" w:firstLine="0"/>
      </w:pPr>
      <w:rPr>
        <w:rFonts w:hint="eastAsia" w:ascii="黑体" w:eastAsia="黑体"/>
        <w:b/>
        <w:i w:val="0"/>
        <w:sz w:val="21"/>
        <w:szCs w:val="21"/>
      </w:rPr>
    </w:lvl>
    <w:lvl w:ilvl="4" w:tentative="0">
      <w:start w:val="1"/>
      <w:numFmt w:val="decimal"/>
      <w:lvlRestart w:val="2"/>
      <w:lvlText w:val="%2.0.%5"/>
      <w:lvlJc w:val="left"/>
      <w:pPr>
        <w:tabs>
          <w:tab w:val="left" w:pos="720"/>
        </w:tabs>
        <w:ind w:left="0" w:firstLine="0"/>
      </w:pPr>
      <w:rPr>
        <w:rFonts w:hint="eastAsia" w:ascii="黑体" w:eastAsia="黑体"/>
        <w:b/>
        <w:i w:val="0"/>
        <w:sz w:val="20"/>
      </w:rPr>
    </w:lvl>
    <w:lvl w:ilvl="5" w:tentative="0">
      <w:start w:val="1"/>
      <w:numFmt w:val="decimal"/>
      <w:lvlRestart w:val="4"/>
      <w:suff w:val="nothing"/>
      <w:lvlText w:val="    %6  "/>
      <w:lvlJc w:val="left"/>
      <w:pPr>
        <w:ind w:left="0" w:firstLine="0"/>
      </w:pPr>
      <w:rPr>
        <w:rFonts w:hint="eastAsia" w:ascii="黑体" w:eastAsia="黑体"/>
        <w:b/>
        <w:i w:val="0"/>
        <w:sz w:val="20"/>
      </w:rPr>
    </w:lvl>
    <w:lvl w:ilvl="6" w:tentative="0">
      <w:start w:val="1"/>
      <w:numFmt w:val="decimal"/>
      <w:suff w:val="nothing"/>
      <w:lvlText w:val="      %7)  "/>
      <w:lvlJc w:val="left"/>
      <w:pPr>
        <w:ind w:left="0" w:firstLine="0"/>
      </w:pPr>
      <w:rPr>
        <w:rFonts w:hint="eastAsia" w:ascii="黑体" w:eastAsia="黑体"/>
        <w:b/>
        <w:i w:val="0"/>
        <w:sz w:val="20"/>
      </w:rPr>
    </w:lvl>
    <w:lvl w:ilvl="7" w:tentative="0">
      <w:start w:val="1"/>
      <w:numFmt w:val="decimal"/>
      <w:lvlRestart w:val="4"/>
      <w:suff w:val="nothing"/>
      <w:lvlText w:val="表 "/>
      <w:lvlJc w:val="left"/>
      <w:pPr>
        <w:ind w:left="0" w:firstLine="0"/>
      </w:pPr>
      <w:rPr>
        <w:rFonts w:hint="eastAsia" w:ascii="黑体" w:eastAsia="黑体"/>
        <w:b/>
        <w:i w:val="0"/>
        <w:sz w:val="20"/>
      </w:rPr>
    </w:lvl>
    <w:lvl w:ilvl="8" w:tentative="0">
      <w:start w:val="1"/>
      <w:numFmt w:val="decimal"/>
      <w:lvlRestart w:val="4"/>
      <w:suff w:val="nothing"/>
      <w:lvlText w:val="图 "/>
      <w:lvlJc w:val="left"/>
      <w:pPr>
        <w:ind w:left="0" w:firstLine="0"/>
      </w:pPr>
      <w:rPr>
        <w:rFonts w:hint="eastAsia" w:ascii="黑体" w:eastAsia="黑体"/>
        <w:b/>
        <w:i w:val="0"/>
        <w:sz w:val="20"/>
      </w:rPr>
    </w:lvl>
  </w:abstractNum>
  <w:abstractNum w:abstractNumId="6">
    <w:nsid w:val="32F04FB2"/>
    <w:multiLevelType w:val="multilevel"/>
    <w:tmpl w:val="32F04FB2"/>
    <w:lvl w:ilvl="0" w:tentative="0">
      <w:start w:val="1"/>
      <w:numFmt w:val="lowerLetter"/>
      <w:pStyle w:val="119"/>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7">
    <w:nsid w:val="44C50F90"/>
    <w:multiLevelType w:val="multilevel"/>
    <w:tmpl w:val="44C50F90"/>
    <w:lvl w:ilvl="0" w:tentative="0">
      <w:start w:val="1"/>
      <w:numFmt w:val="lowerLetter"/>
      <w:pStyle w:val="110"/>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
    <w:nsid w:val="5603797C"/>
    <w:multiLevelType w:val="multilevel"/>
    <w:tmpl w:val="5603797C"/>
    <w:lvl w:ilvl="0" w:tentative="0">
      <w:start w:val="1"/>
      <w:numFmt w:val="upperLetter"/>
      <w:pStyle w:val="118"/>
      <w:suff w:val="space"/>
      <w:lvlText w:val="%1"/>
      <w:lvlJc w:val="left"/>
      <w:pPr>
        <w:ind w:left="425" w:hanging="425"/>
      </w:pPr>
      <w:rPr>
        <w:rFonts w:hint="eastAsia"/>
      </w:rPr>
    </w:lvl>
    <w:lvl w:ilvl="1" w:tentative="0">
      <w:start w:val="1"/>
      <w:numFmt w:val="decimal"/>
      <w:pStyle w:val="116"/>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57996431"/>
    <w:multiLevelType w:val="multilevel"/>
    <w:tmpl w:val="57996431"/>
    <w:lvl w:ilvl="0" w:tentative="0">
      <w:start w:val="1"/>
      <w:numFmt w:val="lowerLetter"/>
      <w:pStyle w:val="9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5A3312E7"/>
    <w:multiLevelType w:val="multilevel"/>
    <w:tmpl w:val="5A3312E7"/>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46260FA"/>
    <w:multiLevelType w:val="multilevel"/>
    <w:tmpl w:val="646260FA"/>
    <w:lvl w:ilvl="0" w:tentative="0">
      <w:start w:val="1"/>
      <w:numFmt w:val="decimal"/>
      <w:pStyle w:val="5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57D3FBC"/>
    <w:multiLevelType w:val="multilevel"/>
    <w:tmpl w:val="657D3FBC"/>
    <w:lvl w:ilvl="0" w:tentative="0">
      <w:start w:val="1"/>
      <w:numFmt w:val="upperLetter"/>
      <w:pStyle w:val="9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B055EA0"/>
    <w:multiLevelType w:val="multilevel"/>
    <w:tmpl w:val="6B055EA0"/>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rPr>
        <w:rFonts w:ascii="黑体" w:hAnsi="黑体" w:eastAsia="黑体"/>
        <w:color w:val="auto"/>
      </w:rPr>
    </w:lvl>
    <w:lvl w:ilvl="3" w:tentative="0">
      <w:start w:val="1"/>
      <w:numFmt w:val="decimal"/>
      <w:pStyle w:val="5"/>
      <w:lvlText w:val="%1.%2.%3.%4"/>
      <w:lvlJc w:val="left"/>
      <w:pPr>
        <w:ind w:left="864" w:hanging="864"/>
      </w:pPr>
      <w:rPr>
        <w:rFonts w:ascii="黑体" w:hAnsi="黑体" w:eastAsia="黑体"/>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13"/>
  </w:num>
  <w:num w:numId="2">
    <w:abstractNumId w:val="11"/>
  </w:num>
  <w:num w:numId="3">
    <w:abstractNumId w:val="4"/>
  </w:num>
  <w:num w:numId="4">
    <w:abstractNumId w:val="12"/>
  </w:num>
  <w:num w:numId="5">
    <w:abstractNumId w:val="9"/>
  </w:num>
  <w:num w:numId="6">
    <w:abstractNumId w:val="5"/>
  </w:num>
  <w:num w:numId="7">
    <w:abstractNumId w:val="7"/>
  </w:num>
  <w:num w:numId="8">
    <w:abstractNumId w:val="8"/>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__Grammarly_42____i" w:val="H4sIAAAAAAAEAKtWckksSQxILCpxzi/NK1GyMqwFAAEhoTITAAAA"/>
    <w:docVar w:name="__Grammarly_42___1" w:val="H4sIAAAAAAAEAKtWcslP9kxRslIyNDYyNTY1NbIwMDAxNzUzMjNX0lEKTi0uzszPAymwqAUABAa95iwAAAA="/>
    <w:docVar w:name="commondata" w:val="eyJoZGlkIjoiMjM3YzFlNTI2N2FjYTEyNzlkNzI3NTBiZWFkZWFjMDMifQ=="/>
  </w:docVars>
  <w:rsids>
    <w:rsidRoot w:val="00BE2E7F"/>
    <w:rsid w:val="000001FE"/>
    <w:rsid w:val="000018E4"/>
    <w:rsid w:val="0000293E"/>
    <w:rsid w:val="00002F44"/>
    <w:rsid w:val="00004818"/>
    <w:rsid w:val="00006D71"/>
    <w:rsid w:val="00007294"/>
    <w:rsid w:val="00007477"/>
    <w:rsid w:val="000076E9"/>
    <w:rsid w:val="00010765"/>
    <w:rsid w:val="0001261C"/>
    <w:rsid w:val="0001284A"/>
    <w:rsid w:val="00015062"/>
    <w:rsid w:val="00015513"/>
    <w:rsid w:val="000173CB"/>
    <w:rsid w:val="000176A3"/>
    <w:rsid w:val="0002159D"/>
    <w:rsid w:val="00021D28"/>
    <w:rsid w:val="00021E8C"/>
    <w:rsid w:val="0002207E"/>
    <w:rsid w:val="000238D7"/>
    <w:rsid w:val="00024252"/>
    <w:rsid w:val="00024921"/>
    <w:rsid w:val="00026331"/>
    <w:rsid w:val="00026D91"/>
    <w:rsid w:val="00030690"/>
    <w:rsid w:val="0003084A"/>
    <w:rsid w:val="00030E09"/>
    <w:rsid w:val="00031380"/>
    <w:rsid w:val="00031418"/>
    <w:rsid w:val="00032CD7"/>
    <w:rsid w:val="00033117"/>
    <w:rsid w:val="0003323A"/>
    <w:rsid w:val="00033F8D"/>
    <w:rsid w:val="000346B5"/>
    <w:rsid w:val="0003548C"/>
    <w:rsid w:val="0003673F"/>
    <w:rsid w:val="0003704B"/>
    <w:rsid w:val="000374A3"/>
    <w:rsid w:val="000403CF"/>
    <w:rsid w:val="000408E3"/>
    <w:rsid w:val="00040C93"/>
    <w:rsid w:val="00041DF5"/>
    <w:rsid w:val="00042449"/>
    <w:rsid w:val="00043205"/>
    <w:rsid w:val="00043B10"/>
    <w:rsid w:val="000442B1"/>
    <w:rsid w:val="00044340"/>
    <w:rsid w:val="00044E5C"/>
    <w:rsid w:val="00045316"/>
    <w:rsid w:val="00047523"/>
    <w:rsid w:val="00047828"/>
    <w:rsid w:val="00047C3B"/>
    <w:rsid w:val="00047D97"/>
    <w:rsid w:val="00050181"/>
    <w:rsid w:val="00050AD5"/>
    <w:rsid w:val="00051BCA"/>
    <w:rsid w:val="00051EB8"/>
    <w:rsid w:val="000533ED"/>
    <w:rsid w:val="0005344F"/>
    <w:rsid w:val="00053EE9"/>
    <w:rsid w:val="00054B76"/>
    <w:rsid w:val="0005574C"/>
    <w:rsid w:val="00055E5A"/>
    <w:rsid w:val="000575C0"/>
    <w:rsid w:val="00057911"/>
    <w:rsid w:val="00057EC1"/>
    <w:rsid w:val="000607D2"/>
    <w:rsid w:val="00061F8D"/>
    <w:rsid w:val="00062E50"/>
    <w:rsid w:val="00063622"/>
    <w:rsid w:val="00063CD3"/>
    <w:rsid w:val="00066311"/>
    <w:rsid w:val="00066368"/>
    <w:rsid w:val="000667A2"/>
    <w:rsid w:val="000704F6"/>
    <w:rsid w:val="0007145B"/>
    <w:rsid w:val="00072525"/>
    <w:rsid w:val="000727C3"/>
    <w:rsid w:val="00072BBD"/>
    <w:rsid w:val="00073941"/>
    <w:rsid w:val="0007395A"/>
    <w:rsid w:val="00073C05"/>
    <w:rsid w:val="00073FF7"/>
    <w:rsid w:val="000747F6"/>
    <w:rsid w:val="000750D0"/>
    <w:rsid w:val="000756B7"/>
    <w:rsid w:val="0007600D"/>
    <w:rsid w:val="000765FB"/>
    <w:rsid w:val="00076F6C"/>
    <w:rsid w:val="0007761A"/>
    <w:rsid w:val="000778D7"/>
    <w:rsid w:val="00080C36"/>
    <w:rsid w:val="000814DA"/>
    <w:rsid w:val="00081AA5"/>
    <w:rsid w:val="000833EE"/>
    <w:rsid w:val="000835E4"/>
    <w:rsid w:val="000839D5"/>
    <w:rsid w:val="00084719"/>
    <w:rsid w:val="00085C3C"/>
    <w:rsid w:val="00085F0B"/>
    <w:rsid w:val="00085F7B"/>
    <w:rsid w:val="00086B70"/>
    <w:rsid w:val="00087451"/>
    <w:rsid w:val="00087945"/>
    <w:rsid w:val="0009102F"/>
    <w:rsid w:val="00091A8D"/>
    <w:rsid w:val="000921A1"/>
    <w:rsid w:val="0009225C"/>
    <w:rsid w:val="0009339F"/>
    <w:rsid w:val="000948B5"/>
    <w:rsid w:val="00094D1D"/>
    <w:rsid w:val="00094E9B"/>
    <w:rsid w:val="00095517"/>
    <w:rsid w:val="000957AE"/>
    <w:rsid w:val="000972CF"/>
    <w:rsid w:val="00097411"/>
    <w:rsid w:val="00097ACF"/>
    <w:rsid w:val="000A0E7B"/>
    <w:rsid w:val="000A206C"/>
    <w:rsid w:val="000A2643"/>
    <w:rsid w:val="000A290C"/>
    <w:rsid w:val="000A3426"/>
    <w:rsid w:val="000A3E68"/>
    <w:rsid w:val="000A425B"/>
    <w:rsid w:val="000A42C9"/>
    <w:rsid w:val="000A46B3"/>
    <w:rsid w:val="000A5DA3"/>
    <w:rsid w:val="000A5FD2"/>
    <w:rsid w:val="000A62A5"/>
    <w:rsid w:val="000A6337"/>
    <w:rsid w:val="000A6A44"/>
    <w:rsid w:val="000A7B16"/>
    <w:rsid w:val="000B1FF0"/>
    <w:rsid w:val="000B2D13"/>
    <w:rsid w:val="000B3EAE"/>
    <w:rsid w:val="000B6C44"/>
    <w:rsid w:val="000C090D"/>
    <w:rsid w:val="000C09C2"/>
    <w:rsid w:val="000C1E56"/>
    <w:rsid w:val="000C2B2D"/>
    <w:rsid w:val="000C2FE5"/>
    <w:rsid w:val="000C387B"/>
    <w:rsid w:val="000C47C1"/>
    <w:rsid w:val="000C5A0A"/>
    <w:rsid w:val="000C66A3"/>
    <w:rsid w:val="000C74E1"/>
    <w:rsid w:val="000C75DD"/>
    <w:rsid w:val="000C79C6"/>
    <w:rsid w:val="000D01FD"/>
    <w:rsid w:val="000D02BB"/>
    <w:rsid w:val="000D07AC"/>
    <w:rsid w:val="000D21D8"/>
    <w:rsid w:val="000D2487"/>
    <w:rsid w:val="000D2E8D"/>
    <w:rsid w:val="000D3163"/>
    <w:rsid w:val="000D431E"/>
    <w:rsid w:val="000D47D8"/>
    <w:rsid w:val="000D47DF"/>
    <w:rsid w:val="000D6554"/>
    <w:rsid w:val="000D6805"/>
    <w:rsid w:val="000D7784"/>
    <w:rsid w:val="000E0285"/>
    <w:rsid w:val="000E1132"/>
    <w:rsid w:val="000E294E"/>
    <w:rsid w:val="000E5F0D"/>
    <w:rsid w:val="000E6803"/>
    <w:rsid w:val="000F0B1D"/>
    <w:rsid w:val="000F2368"/>
    <w:rsid w:val="000F3325"/>
    <w:rsid w:val="000F4F8D"/>
    <w:rsid w:val="000F5B04"/>
    <w:rsid w:val="000F694E"/>
    <w:rsid w:val="000F6A7A"/>
    <w:rsid w:val="000F6AE8"/>
    <w:rsid w:val="000F7221"/>
    <w:rsid w:val="000F7FCD"/>
    <w:rsid w:val="0010045A"/>
    <w:rsid w:val="001004FF"/>
    <w:rsid w:val="00100F83"/>
    <w:rsid w:val="0010137D"/>
    <w:rsid w:val="00101792"/>
    <w:rsid w:val="00101D63"/>
    <w:rsid w:val="00101F3B"/>
    <w:rsid w:val="00102FD7"/>
    <w:rsid w:val="00104F7F"/>
    <w:rsid w:val="00105DD5"/>
    <w:rsid w:val="00106330"/>
    <w:rsid w:val="001067D5"/>
    <w:rsid w:val="00107AF7"/>
    <w:rsid w:val="001104BE"/>
    <w:rsid w:val="00111CC6"/>
    <w:rsid w:val="00112419"/>
    <w:rsid w:val="00113053"/>
    <w:rsid w:val="001132A6"/>
    <w:rsid w:val="00114B2B"/>
    <w:rsid w:val="00114CCB"/>
    <w:rsid w:val="00114CEF"/>
    <w:rsid w:val="00121C64"/>
    <w:rsid w:val="00121DAD"/>
    <w:rsid w:val="0012269B"/>
    <w:rsid w:val="00123917"/>
    <w:rsid w:val="00123C70"/>
    <w:rsid w:val="00123F98"/>
    <w:rsid w:val="0012469C"/>
    <w:rsid w:val="001254B9"/>
    <w:rsid w:val="001258F4"/>
    <w:rsid w:val="00125CFD"/>
    <w:rsid w:val="00126004"/>
    <w:rsid w:val="00126ABA"/>
    <w:rsid w:val="00126F74"/>
    <w:rsid w:val="00127A9A"/>
    <w:rsid w:val="001300C6"/>
    <w:rsid w:val="0013124A"/>
    <w:rsid w:val="001313D5"/>
    <w:rsid w:val="00131D18"/>
    <w:rsid w:val="00132187"/>
    <w:rsid w:val="0013227B"/>
    <w:rsid w:val="00132BDC"/>
    <w:rsid w:val="00133958"/>
    <w:rsid w:val="00133CCC"/>
    <w:rsid w:val="00135399"/>
    <w:rsid w:val="001360E8"/>
    <w:rsid w:val="00140A0F"/>
    <w:rsid w:val="00140ED0"/>
    <w:rsid w:val="00140F05"/>
    <w:rsid w:val="00141510"/>
    <w:rsid w:val="0014192D"/>
    <w:rsid w:val="001419FA"/>
    <w:rsid w:val="00141C53"/>
    <w:rsid w:val="00142233"/>
    <w:rsid w:val="00143BEA"/>
    <w:rsid w:val="00143D3B"/>
    <w:rsid w:val="00144314"/>
    <w:rsid w:val="001450BB"/>
    <w:rsid w:val="0014555D"/>
    <w:rsid w:val="00146458"/>
    <w:rsid w:val="0014657F"/>
    <w:rsid w:val="00146E84"/>
    <w:rsid w:val="00146FD5"/>
    <w:rsid w:val="00147156"/>
    <w:rsid w:val="00151220"/>
    <w:rsid w:val="00151269"/>
    <w:rsid w:val="00151444"/>
    <w:rsid w:val="00151C4A"/>
    <w:rsid w:val="00152378"/>
    <w:rsid w:val="00152937"/>
    <w:rsid w:val="00152938"/>
    <w:rsid w:val="00152CD9"/>
    <w:rsid w:val="001541EF"/>
    <w:rsid w:val="001556F9"/>
    <w:rsid w:val="001562CB"/>
    <w:rsid w:val="001573AE"/>
    <w:rsid w:val="00157B17"/>
    <w:rsid w:val="00160196"/>
    <w:rsid w:val="0016183B"/>
    <w:rsid w:val="00161FE6"/>
    <w:rsid w:val="00163113"/>
    <w:rsid w:val="0016420E"/>
    <w:rsid w:val="00164746"/>
    <w:rsid w:val="00164D13"/>
    <w:rsid w:val="001655C5"/>
    <w:rsid w:val="00165D06"/>
    <w:rsid w:val="00166D49"/>
    <w:rsid w:val="00167B1F"/>
    <w:rsid w:val="00167BC4"/>
    <w:rsid w:val="00167DAD"/>
    <w:rsid w:val="00167EE8"/>
    <w:rsid w:val="00170691"/>
    <w:rsid w:val="0017186A"/>
    <w:rsid w:val="00172651"/>
    <w:rsid w:val="00173368"/>
    <w:rsid w:val="00175D83"/>
    <w:rsid w:val="00175FD6"/>
    <w:rsid w:val="00176F63"/>
    <w:rsid w:val="00177834"/>
    <w:rsid w:val="00177ACF"/>
    <w:rsid w:val="00181E5D"/>
    <w:rsid w:val="00182AAA"/>
    <w:rsid w:val="0018302F"/>
    <w:rsid w:val="00183B41"/>
    <w:rsid w:val="00184040"/>
    <w:rsid w:val="0018480D"/>
    <w:rsid w:val="0019117D"/>
    <w:rsid w:val="0019399C"/>
    <w:rsid w:val="00195249"/>
    <w:rsid w:val="00195696"/>
    <w:rsid w:val="00196310"/>
    <w:rsid w:val="00196604"/>
    <w:rsid w:val="0019660E"/>
    <w:rsid w:val="001976F2"/>
    <w:rsid w:val="00197CE8"/>
    <w:rsid w:val="00197FE4"/>
    <w:rsid w:val="001A0386"/>
    <w:rsid w:val="001A15E9"/>
    <w:rsid w:val="001A1FEC"/>
    <w:rsid w:val="001A2387"/>
    <w:rsid w:val="001A2F16"/>
    <w:rsid w:val="001A3705"/>
    <w:rsid w:val="001A3DFB"/>
    <w:rsid w:val="001A3F73"/>
    <w:rsid w:val="001A4889"/>
    <w:rsid w:val="001A5C3C"/>
    <w:rsid w:val="001A6376"/>
    <w:rsid w:val="001A67AD"/>
    <w:rsid w:val="001A79B2"/>
    <w:rsid w:val="001B04D6"/>
    <w:rsid w:val="001B0778"/>
    <w:rsid w:val="001B180D"/>
    <w:rsid w:val="001B28F8"/>
    <w:rsid w:val="001B46C2"/>
    <w:rsid w:val="001B46E9"/>
    <w:rsid w:val="001B5999"/>
    <w:rsid w:val="001B5CD6"/>
    <w:rsid w:val="001B6596"/>
    <w:rsid w:val="001B741D"/>
    <w:rsid w:val="001C023D"/>
    <w:rsid w:val="001C0CF6"/>
    <w:rsid w:val="001C0E86"/>
    <w:rsid w:val="001C2AA1"/>
    <w:rsid w:val="001C3044"/>
    <w:rsid w:val="001C345F"/>
    <w:rsid w:val="001D0660"/>
    <w:rsid w:val="001D0CBF"/>
    <w:rsid w:val="001D1A02"/>
    <w:rsid w:val="001D1BAE"/>
    <w:rsid w:val="001D1CA6"/>
    <w:rsid w:val="001D25E6"/>
    <w:rsid w:val="001D65F1"/>
    <w:rsid w:val="001D6B4A"/>
    <w:rsid w:val="001E0C38"/>
    <w:rsid w:val="001E3066"/>
    <w:rsid w:val="001E309B"/>
    <w:rsid w:val="001E51D8"/>
    <w:rsid w:val="001E545E"/>
    <w:rsid w:val="001E55EA"/>
    <w:rsid w:val="001E60B1"/>
    <w:rsid w:val="001E60F9"/>
    <w:rsid w:val="001E6E27"/>
    <w:rsid w:val="001F0BBF"/>
    <w:rsid w:val="001F0DA3"/>
    <w:rsid w:val="001F1216"/>
    <w:rsid w:val="001F12D1"/>
    <w:rsid w:val="001F14C1"/>
    <w:rsid w:val="001F2B93"/>
    <w:rsid w:val="001F3411"/>
    <w:rsid w:val="001F4CB1"/>
    <w:rsid w:val="001F704F"/>
    <w:rsid w:val="001F7F6A"/>
    <w:rsid w:val="002003A9"/>
    <w:rsid w:val="002008AC"/>
    <w:rsid w:val="002015A1"/>
    <w:rsid w:val="00201E49"/>
    <w:rsid w:val="00202D69"/>
    <w:rsid w:val="00203404"/>
    <w:rsid w:val="00203526"/>
    <w:rsid w:val="00203C00"/>
    <w:rsid w:val="002041AD"/>
    <w:rsid w:val="0020557B"/>
    <w:rsid w:val="002056AC"/>
    <w:rsid w:val="002068EF"/>
    <w:rsid w:val="0020712D"/>
    <w:rsid w:val="00210332"/>
    <w:rsid w:val="002108A7"/>
    <w:rsid w:val="00210A95"/>
    <w:rsid w:val="00210C7A"/>
    <w:rsid w:val="0021144A"/>
    <w:rsid w:val="002116CE"/>
    <w:rsid w:val="002126FC"/>
    <w:rsid w:val="00213D7B"/>
    <w:rsid w:val="00214712"/>
    <w:rsid w:val="00214EBC"/>
    <w:rsid w:val="0021507C"/>
    <w:rsid w:val="00215793"/>
    <w:rsid w:val="00216014"/>
    <w:rsid w:val="0021617A"/>
    <w:rsid w:val="00217853"/>
    <w:rsid w:val="00220653"/>
    <w:rsid w:val="0022082B"/>
    <w:rsid w:val="00220EAE"/>
    <w:rsid w:val="0022188B"/>
    <w:rsid w:val="0022341B"/>
    <w:rsid w:val="00223AC3"/>
    <w:rsid w:val="002246EF"/>
    <w:rsid w:val="00224E13"/>
    <w:rsid w:val="00225304"/>
    <w:rsid w:val="00225754"/>
    <w:rsid w:val="00226432"/>
    <w:rsid w:val="002266F1"/>
    <w:rsid w:val="00227295"/>
    <w:rsid w:val="002279D2"/>
    <w:rsid w:val="00230851"/>
    <w:rsid w:val="002317E3"/>
    <w:rsid w:val="00231C98"/>
    <w:rsid w:val="00231F2D"/>
    <w:rsid w:val="00232197"/>
    <w:rsid w:val="00234412"/>
    <w:rsid w:val="002348E3"/>
    <w:rsid w:val="00234A25"/>
    <w:rsid w:val="00234B15"/>
    <w:rsid w:val="002408CF"/>
    <w:rsid w:val="002410F4"/>
    <w:rsid w:val="00241E96"/>
    <w:rsid w:val="0024276D"/>
    <w:rsid w:val="00242F9F"/>
    <w:rsid w:val="00243D01"/>
    <w:rsid w:val="00244BF7"/>
    <w:rsid w:val="00245DCE"/>
    <w:rsid w:val="00246046"/>
    <w:rsid w:val="002466C8"/>
    <w:rsid w:val="00247503"/>
    <w:rsid w:val="00247652"/>
    <w:rsid w:val="002478C1"/>
    <w:rsid w:val="00247D63"/>
    <w:rsid w:val="00247FFB"/>
    <w:rsid w:val="00250B4A"/>
    <w:rsid w:val="00250C49"/>
    <w:rsid w:val="002511D5"/>
    <w:rsid w:val="00251247"/>
    <w:rsid w:val="0025138E"/>
    <w:rsid w:val="002519B3"/>
    <w:rsid w:val="00251EC4"/>
    <w:rsid w:val="00253003"/>
    <w:rsid w:val="00253F24"/>
    <w:rsid w:val="002575F7"/>
    <w:rsid w:val="002576B4"/>
    <w:rsid w:val="0026042F"/>
    <w:rsid w:val="00260C6C"/>
    <w:rsid w:val="00261A16"/>
    <w:rsid w:val="0026571A"/>
    <w:rsid w:val="00271B95"/>
    <w:rsid w:val="00271F45"/>
    <w:rsid w:val="00273BBE"/>
    <w:rsid w:val="00273E69"/>
    <w:rsid w:val="00273F95"/>
    <w:rsid w:val="00274239"/>
    <w:rsid w:val="002746D4"/>
    <w:rsid w:val="002746E1"/>
    <w:rsid w:val="00274E1C"/>
    <w:rsid w:val="00275250"/>
    <w:rsid w:val="002756BE"/>
    <w:rsid w:val="002759F4"/>
    <w:rsid w:val="00276F0E"/>
    <w:rsid w:val="002771F1"/>
    <w:rsid w:val="00277AAB"/>
    <w:rsid w:val="00277FD3"/>
    <w:rsid w:val="002809F5"/>
    <w:rsid w:val="00280FBC"/>
    <w:rsid w:val="00281270"/>
    <w:rsid w:val="00281C01"/>
    <w:rsid w:val="00281FFC"/>
    <w:rsid w:val="00282DA3"/>
    <w:rsid w:val="0028323C"/>
    <w:rsid w:val="00283F08"/>
    <w:rsid w:val="002864D3"/>
    <w:rsid w:val="0028661A"/>
    <w:rsid w:val="0028717A"/>
    <w:rsid w:val="00287310"/>
    <w:rsid w:val="0029152B"/>
    <w:rsid w:val="002923E2"/>
    <w:rsid w:val="00293246"/>
    <w:rsid w:val="00294966"/>
    <w:rsid w:val="00296B6A"/>
    <w:rsid w:val="00297CDF"/>
    <w:rsid w:val="002A0411"/>
    <w:rsid w:val="002A200F"/>
    <w:rsid w:val="002A32AD"/>
    <w:rsid w:val="002A364D"/>
    <w:rsid w:val="002A5A97"/>
    <w:rsid w:val="002A69A7"/>
    <w:rsid w:val="002A7A9A"/>
    <w:rsid w:val="002A7C6B"/>
    <w:rsid w:val="002A7E8A"/>
    <w:rsid w:val="002B2241"/>
    <w:rsid w:val="002B2949"/>
    <w:rsid w:val="002B3261"/>
    <w:rsid w:val="002B3A11"/>
    <w:rsid w:val="002B3AA6"/>
    <w:rsid w:val="002B4080"/>
    <w:rsid w:val="002B53CE"/>
    <w:rsid w:val="002B5CD6"/>
    <w:rsid w:val="002B659C"/>
    <w:rsid w:val="002B6DE4"/>
    <w:rsid w:val="002B7031"/>
    <w:rsid w:val="002B7955"/>
    <w:rsid w:val="002B7BD4"/>
    <w:rsid w:val="002B7F8D"/>
    <w:rsid w:val="002C0974"/>
    <w:rsid w:val="002C11B8"/>
    <w:rsid w:val="002C18EE"/>
    <w:rsid w:val="002C20D6"/>
    <w:rsid w:val="002C2874"/>
    <w:rsid w:val="002C2B9D"/>
    <w:rsid w:val="002C3186"/>
    <w:rsid w:val="002C32B2"/>
    <w:rsid w:val="002C3FBC"/>
    <w:rsid w:val="002C4ACA"/>
    <w:rsid w:val="002C4F97"/>
    <w:rsid w:val="002C6200"/>
    <w:rsid w:val="002C63B4"/>
    <w:rsid w:val="002C63D3"/>
    <w:rsid w:val="002C74AE"/>
    <w:rsid w:val="002C74FE"/>
    <w:rsid w:val="002D071E"/>
    <w:rsid w:val="002D142A"/>
    <w:rsid w:val="002D1A79"/>
    <w:rsid w:val="002D2C4C"/>
    <w:rsid w:val="002D4164"/>
    <w:rsid w:val="002D48BF"/>
    <w:rsid w:val="002D4D0C"/>
    <w:rsid w:val="002D592E"/>
    <w:rsid w:val="002D7273"/>
    <w:rsid w:val="002D7975"/>
    <w:rsid w:val="002D7CEA"/>
    <w:rsid w:val="002E00A9"/>
    <w:rsid w:val="002E05F3"/>
    <w:rsid w:val="002E0BEE"/>
    <w:rsid w:val="002E0F33"/>
    <w:rsid w:val="002E12B7"/>
    <w:rsid w:val="002E15A0"/>
    <w:rsid w:val="002E26CA"/>
    <w:rsid w:val="002E2AE9"/>
    <w:rsid w:val="002E425B"/>
    <w:rsid w:val="002E4DBA"/>
    <w:rsid w:val="002E4FE4"/>
    <w:rsid w:val="002E5759"/>
    <w:rsid w:val="002E58D7"/>
    <w:rsid w:val="002E6BA7"/>
    <w:rsid w:val="002F0E6A"/>
    <w:rsid w:val="002F13E7"/>
    <w:rsid w:val="002F1427"/>
    <w:rsid w:val="002F2F71"/>
    <w:rsid w:val="002F325C"/>
    <w:rsid w:val="002F3FE7"/>
    <w:rsid w:val="002F41E0"/>
    <w:rsid w:val="002F4D22"/>
    <w:rsid w:val="002F628B"/>
    <w:rsid w:val="002F6763"/>
    <w:rsid w:val="002F6F34"/>
    <w:rsid w:val="0030035E"/>
    <w:rsid w:val="003005CB"/>
    <w:rsid w:val="0030094A"/>
    <w:rsid w:val="00300F18"/>
    <w:rsid w:val="00301954"/>
    <w:rsid w:val="00301CDA"/>
    <w:rsid w:val="00302355"/>
    <w:rsid w:val="00302A85"/>
    <w:rsid w:val="00302AE1"/>
    <w:rsid w:val="00303B89"/>
    <w:rsid w:val="00305435"/>
    <w:rsid w:val="003054B0"/>
    <w:rsid w:val="003054F4"/>
    <w:rsid w:val="003060D0"/>
    <w:rsid w:val="0030662D"/>
    <w:rsid w:val="0030681E"/>
    <w:rsid w:val="00310366"/>
    <w:rsid w:val="003103A8"/>
    <w:rsid w:val="00311735"/>
    <w:rsid w:val="003117F5"/>
    <w:rsid w:val="00312608"/>
    <w:rsid w:val="003127B3"/>
    <w:rsid w:val="00313E7F"/>
    <w:rsid w:val="00313FF9"/>
    <w:rsid w:val="0031565C"/>
    <w:rsid w:val="00315936"/>
    <w:rsid w:val="00315B0D"/>
    <w:rsid w:val="00317444"/>
    <w:rsid w:val="003175FB"/>
    <w:rsid w:val="00317961"/>
    <w:rsid w:val="00317AFE"/>
    <w:rsid w:val="00317B3F"/>
    <w:rsid w:val="00317CE7"/>
    <w:rsid w:val="0032214E"/>
    <w:rsid w:val="003221D5"/>
    <w:rsid w:val="0032260C"/>
    <w:rsid w:val="003229B8"/>
    <w:rsid w:val="003236EE"/>
    <w:rsid w:val="00323E2A"/>
    <w:rsid w:val="003242DF"/>
    <w:rsid w:val="003245E7"/>
    <w:rsid w:val="00326546"/>
    <w:rsid w:val="003270C5"/>
    <w:rsid w:val="0032766B"/>
    <w:rsid w:val="003305E5"/>
    <w:rsid w:val="003309DB"/>
    <w:rsid w:val="00330CF0"/>
    <w:rsid w:val="00331050"/>
    <w:rsid w:val="00331345"/>
    <w:rsid w:val="00331435"/>
    <w:rsid w:val="00332CF2"/>
    <w:rsid w:val="00333CAA"/>
    <w:rsid w:val="00334221"/>
    <w:rsid w:val="00335940"/>
    <w:rsid w:val="00340E37"/>
    <w:rsid w:val="003430FC"/>
    <w:rsid w:val="0034339E"/>
    <w:rsid w:val="003453DF"/>
    <w:rsid w:val="0034694A"/>
    <w:rsid w:val="00346A58"/>
    <w:rsid w:val="00347872"/>
    <w:rsid w:val="003501D8"/>
    <w:rsid w:val="003508FD"/>
    <w:rsid w:val="00351C33"/>
    <w:rsid w:val="0035216D"/>
    <w:rsid w:val="00352420"/>
    <w:rsid w:val="003527C8"/>
    <w:rsid w:val="003537E2"/>
    <w:rsid w:val="00353F02"/>
    <w:rsid w:val="00356F85"/>
    <w:rsid w:val="00357723"/>
    <w:rsid w:val="0035786B"/>
    <w:rsid w:val="0036004F"/>
    <w:rsid w:val="003609EE"/>
    <w:rsid w:val="00360E89"/>
    <w:rsid w:val="003630F3"/>
    <w:rsid w:val="00364BBC"/>
    <w:rsid w:val="00365C36"/>
    <w:rsid w:val="00365FD8"/>
    <w:rsid w:val="003662D6"/>
    <w:rsid w:val="00370285"/>
    <w:rsid w:val="003705AC"/>
    <w:rsid w:val="003719C8"/>
    <w:rsid w:val="00371CD4"/>
    <w:rsid w:val="00372201"/>
    <w:rsid w:val="00373754"/>
    <w:rsid w:val="00373BC1"/>
    <w:rsid w:val="0037508D"/>
    <w:rsid w:val="0037546C"/>
    <w:rsid w:val="00376686"/>
    <w:rsid w:val="00377035"/>
    <w:rsid w:val="0037744B"/>
    <w:rsid w:val="003779E9"/>
    <w:rsid w:val="003804D5"/>
    <w:rsid w:val="0038113C"/>
    <w:rsid w:val="00383774"/>
    <w:rsid w:val="00384B27"/>
    <w:rsid w:val="00385651"/>
    <w:rsid w:val="00385B43"/>
    <w:rsid w:val="0039015D"/>
    <w:rsid w:val="003903CE"/>
    <w:rsid w:val="00390C6D"/>
    <w:rsid w:val="00391727"/>
    <w:rsid w:val="00391BE5"/>
    <w:rsid w:val="00391DA4"/>
    <w:rsid w:val="00392EE7"/>
    <w:rsid w:val="0039422C"/>
    <w:rsid w:val="00394494"/>
    <w:rsid w:val="00394C39"/>
    <w:rsid w:val="00394F11"/>
    <w:rsid w:val="0039529E"/>
    <w:rsid w:val="00396504"/>
    <w:rsid w:val="003A0718"/>
    <w:rsid w:val="003A0AB2"/>
    <w:rsid w:val="003A1116"/>
    <w:rsid w:val="003A2B79"/>
    <w:rsid w:val="003A417C"/>
    <w:rsid w:val="003A4615"/>
    <w:rsid w:val="003A48D5"/>
    <w:rsid w:val="003A4D49"/>
    <w:rsid w:val="003A5204"/>
    <w:rsid w:val="003A521E"/>
    <w:rsid w:val="003B18A1"/>
    <w:rsid w:val="003B1D41"/>
    <w:rsid w:val="003B3DBF"/>
    <w:rsid w:val="003B4049"/>
    <w:rsid w:val="003B513B"/>
    <w:rsid w:val="003B537D"/>
    <w:rsid w:val="003B539C"/>
    <w:rsid w:val="003C0550"/>
    <w:rsid w:val="003C0DF2"/>
    <w:rsid w:val="003C0E4A"/>
    <w:rsid w:val="003C10A6"/>
    <w:rsid w:val="003C10E7"/>
    <w:rsid w:val="003C1599"/>
    <w:rsid w:val="003C15AF"/>
    <w:rsid w:val="003C308B"/>
    <w:rsid w:val="003C37C1"/>
    <w:rsid w:val="003C3AB3"/>
    <w:rsid w:val="003C6DE0"/>
    <w:rsid w:val="003C6F21"/>
    <w:rsid w:val="003C7F3C"/>
    <w:rsid w:val="003D0263"/>
    <w:rsid w:val="003D09F0"/>
    <w:rsid w:val="003D0A32"/>
    <w:rsid w:val="003D1EE2"/>
    <w:rsid w:val="003D21BB"/>
    <w:rsid w:val="003D26D6"/>
    <w:rsid w:val="003D2E99"/>
    <w:rsid w:val="003D2FB8"/>
    <w:rsid w:val="003D3A68"/>
    <w:rsid w:val="003D48AD"/>
    <w:rsid w:val="003D55AE"/>
    <w:rsid w:val="003D577B"/>
    <w:rsid w:val="003D5AB4"/>
    <w:rsid w:val="003D64C3"/>
    <w:rsid w:val="003D6689"/>
    <w:rsid w:val="003D6E76"/>
    <w:rsid w:val="003D75C3"/>
    <w:rsid w:val="003E0B45"/>
    <w:rsid w:val="003E2969"/>
    <w:rsid w:val="003E41DF"/>
    <w:rsid w:val="003E427B"/>
    <w:rsid w:val="003E44C9"/>
    <w:rsid w:val="003E4592"/>
    <w:rsid w:val="003E4BCB"/>
    <w:rsid w:val="003E5827"/>
    <w:rsid w:val="003E65F9"/>
    <w:rsid w:val="003E6E97"/>
    <w:rsid w:val="003E778D"/>
    <w:rsid w:val="003E7FCB"/>
    <w:rsid w:val="003F33D9"/>
    <w:rsid w:val="003F3C71"/>
    <w:rsid w:val="003F4BDD"/>
    <w:rsid w:val="003F56F2"/>
    <w:rsid w:val="003F6279"/>
    <w:rsid w:val="003F6EB0"/>
    <w:rsid w:val="003F70D5"/>
    <w:rsid w:val="003F74B1"/>
    <w:rsid w:val="004001D8"/>
    <w:rsid w:val="0040060F"/>
    <w:rsid w:val="00400612"/>
    <w:rsid w:val="00401102"/>
    <w:rsid w:val="00402442"/>
    <w:rsid w:val="00403840"/>
    <w:rsid w:val="004042C0"/>
    <w:rsid w:val="00404C3D"/>
    <w:rsid w:val="00404C54"/>
    <w:rsid w:val="0040616A"/>
    <w:rsid w:val="00406FA9"/>
    <w:rsid w:val="0040729B"/>
    <w:rsid w:val="00407E27"/>
    <w:rsid w:val="004112E3"/>
    <w:rsid w:val="004115E9"/>
    <w:rsid w:val="0041175A"/>
    <w:rsid w:val="00411C28"/>
    <w:rsid w:val="0041235D"/>
    <w:rsid w:val="00412D08"/>
    <w:rsid w:val="00414226"/>
    <w:rsid w:val="00414453"/>
    <w:rsid w:val="004153C5"/>
    <w:rsid w:val="004156F4"/>
    <w:rsid w:val="00415CE0"/>
    <w:rsid w:val="0041624E"/>
    <w:rsid w:val="0041662C"/>
    <w:rsid w:val="00416D5E"/>
    <w:rsid w:val="0041731D"/>
    <w:rsid w:val="00417FE2"/>
    <w:rsid w:val="004236C6"/>
    <w:rsid w:val="00423858"/>
    <w:rsid w:val="004267F1"/>
    <w:rsid w:val="00427BBF"/>
    <w:rsid w:val="00430F25"/>
    <w:rsid w:val="0043109D"/>
    <w:rsid w:val="00432422"/>
    <w:rsid w:val="00432471"/>
    <w:rsid w:val="00433572"/>
    <w:rsid w:val="00433710"/>
    <w:rsid w:val="00434FD3"/>
    <w:rsid w:val="0043538C"/>
    <w:rsid w:val="00436902"/>
    <w:rsid w:val="00436A92"/>
    <w:rsid w:val="00436DDE"/>
    <w:rsid w:val="00440033"/>
    <w:rsid w:val="00440113"/>
    <w:rsid w:val="0044023F"/>
    <w:rsid w:val="00440348"/>
    <w:rsid w:val="004411ED"/>
    <w:rsid w:val="00441ED5"/>
    <w:rsid w:val="00442A8A"/>
    <w:rsid w:val="00444570"/>
    <w:rsid w:val="00444631"/>
    <w:rsid w:val="0044475C"/>
    <w:rsid w:val="00445E32"/>
    <w:rsid w:val="0044764D"/>
    <w:rsid w:val="004476D4"/>
    <w:rsid w:val="00447819"/>
    <w:rsid w:val="004509AE"/>
    <w:rsid w:val="00451926"/>
    <w:rsid w:val="00451A7E"/>
    <w:rsid w:val="004545DB"/>
    <w:rsid w:val="00454822"/>
    <w:rsid w:val="00455E3C"/>
    <w:rsid w:val="00456196"/>
    <w:rsid w:val="00456B9D"/>
    <w:rsid w:val="00457220"/>
    <w:rsid w:val="004579C6"/>
    <w:rsid w:val="00457B7F"/>
    <w:rsid w:val="00457DE7"/>
    <w:rsid w:val="00457F2A"/>
    <w:rsid w:val="00460378"/>
    <w:rsid w:val="00460722"/>
    <w:rsid w:val="00460B96"/>
    <w:rsid w:val="00463F23"/>
    <w:rsid w:val="004646F1"/>
    <w:rsid w:val="00465023"/>
    <w:rsid w:val="00465B32"/>
    <w:rsid w:val="004661B4"/>
    <w:rsid w:val="00466AEE"/>
    <w:rsid w:val="00466C86"/>
    <w:rsid w:val="00467282"/>
    <w:rsid w:val="004702D9"/>
    <w:rsid w:val="00471B1C"/>
    <w:rsid w:val="0047278F"/>
    <w:rsid w:val="00473047"/>
    <w:rsid w:val="00473400"/>
    <w:rsid w:val="00473C83"/>
    <w:rsid w:val="00474E18"/>
    <w:rsid w:val="004751B4"/>
    <w:rsid w:val="004762C8"/>
    <w:rsid w:val="0047753D"/>
    <w:rsid w:val="00477683"/>
    <w:rsid w:val="00477A5F"/>
    <w:rsid w:val="00481079"/>
    <w:rsid w:val="004818BF"/>
    <w:rsid w:val="00482150"/>
    <w:rsid w:val="00482A35"/>
    <w:rsid w:val="0048591F"/>
    <w:rsid w:val="004860DD"/>
    <w:rsid w:val="00486C7A"/>
    <w:rsid w:val="0048705D"/>
    <w:rsid w:val="0048746B"/>
    <w:rsid w:val="00491927"/>
    <w:rsid w:val="004919D9"/>
    <w:rsid w:val="0049229E"/>
    <w:rsid w:val="00492A32"/>
    <w:rsid w:val="00492F8B"/>
    <w:rsid w:val="0049306B"/>
    <w:rsid w:val="0049367E"/>
    <w:rsid w:val="00493D2F"/>
    <w:rsid w:val="00493D7C"/>
    <w:rsid w:val="00493E9F"/>
    <w:rsid w:val="00493F92"/>
    <w:rsid w:val="004946FB"/>
    <w:rsid w:val="00496CFD"/>
    <w:rsid w:val="00496DBE"/>
    <w:rsid w:val="004974A1"/>
    <w:rsid w:val="004A01AB"/>
    <w:rsid w:val="004A092D"/>
    <w:rsid w:val="004A272A"/>
    <w:rsid w:val="004A2DF9"/>
    <w:rsid w:val="004A3E7F"/>
    <w:rsid w:val="004A4B72"/>
    <w:rsid w:val="004A4D25"/>
    <w:rsid w:val="004A5412"/>
    <w:rsid w:val="004A56C3"/>
    <w:rsid w:val="004A5814"/>
    <w:rsid w:val="004A6BE0"/>
    <w:rsid w:val="004A73F7"/>
    <w:rsid w:val="004A7841"/>
    <w:rsid w:val="004B033E"/>
    <w:rsid w:val="004B03F6"/>
    <w:rsid w:val="004B09A2"/>
    <w:rsid w:val="004B2AE8"/>
    <w:rsid w:val="004B33A4"/>
    <w:rsid w:val="004B3678"/>
    <w:rsid w:val="004B4933"/>
    <w:rsid w:val="004B579B"/>
    <w:rsid w:val="004B612C"/>
    <w:rsid w:val="004B667C"/>
    <w:rsid w:val="004B7E7C"/>
    <w:rsid w:val="004C079E"/>
    <w:rsid w:val="004C2C14"/>
    <w:rsid w:val="004C3078"/>
    <w:rsid w:val="004C36EA"/>
    <w:rsid w:val="004C45D4"/>
    <w:rsid w:val="004C49F6"/>
    <w:rsid w:val="004C5210"/>
    <w:rsid w:val="004C633D"/>
    <w:rsid w:val="004C6629"/>
    <w:rsid w:val="004C6F6F"/>
    <w:rsid w:val="004C77D1"/>
    <w:rsid w:val="004D063A"/>
    <w:rsid w:val="004D09C9"/>
    <w:rsid w:val="004D0B9A"/>
    <w:rsid w:val="004D2AD9"/>
    <w:rsid w:val="004D3EE5"/>
    <w:rsid w:val="004D484B"/>
    <w:rsid w:val="004D575D"/>
    <w:rsid w:val="004D5866"/>
    <w:rsid w:val="004D59B2"/>
    <w:rsid w:val="004D5BFC"/>
    <w:rsid w:val="004D5F4B"/>
    <w:rsid w:val="004D69A8"/>
    <w:rsid w:val="004D779D"/>
    <w:rsid w:val="004E0D2D"/>
    <w:rsid w:val="004E21A2"/>
    <w:rsid w:val="004E26B9"/>
    <w:rsid w:val="004E3C18"/>
    <w:rsid w:val="004E474B"/>
    <w:rsid w:val="004E487D"/>
    <w:rsid w:val="004E4EAF"/>
    <w:rsid w:val="004E72EB"/>
    <w:rsid w:val="004F05EE"/>
    <w:rsid w:val="004F09E2"/>
    <w:rsid w:val="004F0FA3"/>
    <w:rsid w:val="004F1084"/>
    <w:rsid w:val="004F2D69"/>
    <w:rsid w:val="004F492A"/>
    <w:rsid w:val="004F4DFE"/>
    <w:rsid w:val="004F569D"/>
    <w:rsid w:val="004F697F"/>
    <w:rsid w:val="004F6CB0"/>
    <w:rsid w:val="004F790E"/>
    <w:rsid w:val="004F79B0"/>
    <w:rsid w:val="00500F49"/>
    <w:rsid w:val="005011EB"/>
    <w:rsid w:val="0050131E"/>
    <w:rsid w:val="00504CC4"/>
    <w:rsid w:val="00505068"/>
    <w:rsid w:val="0050580D"/>
    <w:rsid w:val="0050640D"/>
    <w:rsid w:val="00506D83"/>
    <w:rsid w:val="0050769D"/>
    <w:rsid w:val="00507903"/>
    <w:rsid w:val="00507A5E"/>
    <w:rsid w:val="00507F9D"/>
    <w:rsid w:val="00511DFE"/>
    <w:rsid w:val="0051245B"/>
    <w:rsid w:val="00512C0F"/>
    <w:rsid w:val="0051379C"/>
    <w:rsid w:val="0051383C"/>
    <w:rsid w:val="00513A0A"/>
    <w:rsid w:val="00515026"/>
    <w:rsid w:val="0051519E"/>
    <w:rsid w:val="005152BD"/>
    <w:rsid w:val="00515FEC"/>
    <w:rsid w:val="00516506"/>
    <w:rsid w:val="00516B61"/>
    <w:rsid w:val="0051747F"/>
    <w:rsid w:val="00521BFD"/>
    <w:rsid w:val="00524750"/>
    <w:rsid w:val="00525287"/>
    <w:rsid w:val="0052582E"/>
    <w:rsid w:val="00525DC2"/>
    <w:rsid w:val="0052634D"/>
    <w:rsid w:val="005268FC"/>
    <w:rsid w:val="00526FB4"/>
    <w:rsid w:val="005276AC"/>
    <w:rsid w:val="00527A74"/>
    <w:rsid w:val="00527FA7"/>
    <w:rsid w:val="00531DA5"/>
    <w:rsid w:val="0053213B"/>
    <w:rsid w:val="0053259C"/>
    <w:rsid w:val="005328CE"/>
    <w:rsid w:val="00532C24"/>
    <w:rsid w:val="00532FB1"/>
    <w:rsid w:val="00533179"/>
    <w:rsid w:val="00533998"/>
    <w:rsid w:val="00534B58"/>
    <w:rsid w:val="005351F3"/>
    <w:rsid w:val="0053612A"/>
    <w:rsid w:val="005361F6"/>
    <w:rsid w:val="00536886"/>
    <w:rsid w:val="005379BD"/>
    <w:rsid w:val="0054126E"/>
    <w:rsid w:val="005427AD"/>
    <w:rsid w:val="00542D8A"/>
    <w:rsid w:val="00543691"/>
    <w:rsid w:val="00544055"/>
    <w:rsid w:val="00544375"/>
    <w:rsid w:val="0054488B"/>
    <w:rsid w:val="00544FBC"/>
    <w:rsid w:val="005464F7"/>
    <w:rsid w:val="005466D3"/>
    <w:rsid w:val="005472E1"/>
    <w:rsid w:val="00547B29"/>
    <w:rsid w:val="00547F40"/>
    <w:rsid w:val="005520FE"/>
    <w:rsid w:val="0055248B"/>
    <w:rsid w:val="00553F04"/>
    <w:rsid w:val="005545B6"/>
    <w:rsid w:val="00555173"/>
    <w:rsid w:val="00555A33"/>
    <w:rsid w:val="00556DF1"/>
    <w:rsid w:val="0055701E"/>
    <w:rsid w:val="00557166"/>
    <w:rsid w:val="00564980"/>
    <w:rsid w:val="005653F5"/>
    <w:rsid w:val="0056788E"/>
    <w:rsid w:val="00567E86"/>
    <w:rsid w:val="00570624"/>
    <w:rsid w:val="00570AF6"/>
    <w:rsid w:val="00570FB9"/>
    <w:rsid w:val="00571779"/>
    <w:rsid w:val="0057191F"/>
    <w:rsid w:val="00571924"/>
    <w:rsid w:val="00571954"/>
    <w:rsid w:val="005719EA"/>
    <w:rsid w:val="00571F6C"/>
    <w:rsid w:val="005727AF"/>
    <w:rsid w:val="00572BD4"/>
    <w:rsid w:val="005742C9"/>
    <w:rsid w:val="00574535"/>
    <w:rsid w:val="00574975"/>
    <w:rsid w:val="00575882"/>
    <w:rsid w:val="00575885"/>
    <w:rsid w:val="00577165"/>
    <w:rsid w:val="0057756B"/>
    <w:rsid w:val="005804C0"/>
    <w:rsid w:val="00580829"/>
    <w:rsid w:val="00580D87"/>
    <w:rsid w:val="00580FC6"/>
    <w:rsid w:val="00581650"/>
    <w:rsid w:val="005832CC"/>
    <w:rsid w:val="00583447"/>
    <w:rsid w:val="005838C3"/>
    <w:rsid w:val="00583D9B"/>
    <w:rsid w:val="00584317"/>
    <w:rsid w:val="00584437"/>
    <w:rsid w:val="005851D4"/>
    <w:rsid w:val="00585230"/>
    <w:rsid w:val="00586E6F"/>
    <w:rsid w:val="00592E08"/>
    <w:rsid w:val="00593EF1"/>
    <w:rsid w:val="0059460C"/>
    <w:rsid w:val="00594630"/>
    <w:rsid w:val="00594BF1"/>
    <w:rsid w:val="00594E05"/>
    <w:rsid w:val="00595F50"/>
    <w:rsid w:val="005967AE"/>
    <w:rsid w:val="005968B6"/>
    <w:rsid w:val="005A0470"/>
    <w:rsid w:val="005A08B0"/>
    <w:rsid w:val="005A0D1A"/>
    <w:rsid w:val="005A0D7C"/>
    <w:rsid w:val="005A1C5A"/>
    <w:rsid w:val="005A1DF3"/>
    <w:rsid w:val="005A2A4A"/>
    <w:rsid w:val="005A2E52"/>
    <w:rsid w:val="005A2E99"/>
    <w:rsid w:val="005A3767"/>
    <w:rsid w:val="005A4650"/>
    <w:rsid w:val="005A4EFB"/>
    <w:rsid w:val="005A4FDA"/>
    <w:rsid w:val="005A58B5"/>
    <w:rsid w:val="005A5AA0"/>
    <w:rsid w:val="005A5D83"/>
    <w:rsid w:val="005A6F19"/>
    <w:rsid w:val="005A7CF4"/>
    <w:rsid w:val="005A7F8D"/>
    <w:rsid w:val="005B0F40"/>
    <w:rsid w:val="005B1EA1"/>
    <w:rsid w:val="005B33E8"/>
    <w:rsid w:val="005B34AA"/>
    <w:rsid w:val="005B41A8"/>
    <w:rsid w:val="005B4C02"/>
    <w:rsid w:val="005B5218"/>
    <w:rsid w:val="005B53A7"/>
    <w:rsid w:val="005B5AE6"/>
    <w:rsid w:val="005B62A6"/>
    <w:rsid w:val="005B7102"/>
    <w:rsid w:val="005C08D1"/>
    <w:rsid w:val="005C1300"/>
    <w:rsid w:val="005C2B42"/>
    <w:rsid w:val="005C352B"/>
    <w:rsid w:val="005C35BB"/>
    <w:rsid w:val="005C3755"/>
    <w:rsid w:val="005C3B82"/>
    <w:rsid w:val="005C3D9E"/>
    <w:rsid w:val="005C44C0"/>
    <w:rsid w:val="005C5106"/>
    <w:rsid w:val="005C66D5"/>
    <w:rsid w:val="005C703D"/>
    <w:rsid w:val="005C7421"/>
    <w:rsid w:val="005C7FC5"/>
    <w:rsid w:val="005D0011"/>
    <w:rsid w:val="005D0878"/>
    <w:rsid w:val="005D12B4"/>
    <w:rsid w:val="005D148C"/>
    <w:rsid w:val="005D174C"/>
    <w:rsid w:val="005D177C"/>
    <w:rsid w:val="005D22FB"/>
    <w:rsid w:val="005D2350"/>
    <w:rsid w:val="005D5450"/>
    <w:rsid w:val="005D5BD8"/>
    <w:rsid w:val="005D5F8E"/>
    <w:rsid w:val="005D6051"/>
    <w:rsid w:val="005D7090"/>
    <w:rsid w:val="005E1E91"/>
    <w:rsid w:val="005E2B86"/>
    <w:rsid w:val="005E31C0"/>
    <w:rsid w:val="005E4127"/>
    <w:rsid w:val="005E6A50"/>
    <w:rsid w:val="005E76A3"/>
    <w:rsid w:val="005F0520"/>
    <w:rsid w:val="005F0819"/>
    <w:rsid w:val="005F08D1"/>
    <w:rsid w:val="005F2644"/>
    <w:rsid w:val="005F327F"/>
    <w:rsid w:val="005F3345"/>
    <w:rsid w:val="005F38DD"/>
    <w:rsid w:val="005F4317"/>
    <w:rsid w:val="005F4E97"/>
    <w:rsid w:val="005F500C"/>
    <w:rsid w:val="005F56A2"/>
    <w:rsid w:val="005F56C6"/>
    <w:rsid w:val="005F6E75"/>
    <w:rsid w:val="005F7B82"/>
    <w:rsid w:val="005F7EF9"/>
    <w:rsid w:val="00601497"/>
    <w:rsid w:val="00601FBC"/>
    <w:rsid w:val="006021F6"/>
    <w:rsid w:val="006026A8"/>
    <w:rsid w:val="00602DF9"/>
    <w:rsid w:val="00603932"/>
    <w:rsid w:val="00603C22"/>
    <w:rsid w:val="0060411C"/>
    <w:rsid w:val="00605389"/>
    <w:rsid w:val="00605587"/>
    <w:rsid w:val="00610B6A"/>
    <w:rsid w:val="00613BB7"/>
    <w:rsid w:val="00614736"/>
    <w:rsid w:val="00614A3C"/>
    <w:rsid w:val="00615773"/>
    <w:rsid w:val="00615FC7"/>
    <w:rsid w:val="006160BC"/>
    <w:rsid w:val="006165FB"/>
    <w:rsid w:val="00616A36"/>
    <w:rsid w:val="00617EB8"/>
    <w:rsid w:val="0062060A"/>
    <w:rsid w:val="00620691"/>
    <w:rsid w:val="00621BCC"/>
    <w:rsid w:val="00621CF5"/>
    <w:rsid w:val="00621F2A"/>
    <w:rsid w:val="006222D4"/>
    <w:rsid w:val="00623849"/>
    <w:rsid w:val="00623E0F"/>
    <w:rsid w:val="006241F0"/>
    <w:rsid w:val="00624A1C"/>
    <w:rsid w:val="00625AD2"/>
    <w:rsid w:val="00625EFE"/>
    <w:rsid w:val="006268A0"/>
    <w:rsid w:val="00626A85"/>
    <w:rsid w:val="00627843"/>
    <w:rsid w:val="00627F30"/>
    <w:rsid w:val="00630B9C"/>
    <w:rsid w:val="00631602"/>
    <w:rsid w:val="006317EE"/>
    <w:rsid w:val="006349C7"/>
    <w:rsid w:val="00634DF4"/>
    <w:rsid w:val="00634FD8"/>
    <w:rsid w:val="00635A6A"/>
    <w:rsid w:val="00635DB1"/>
    <w:rsid w:val="006367AE"/>
    <w:rsid w:val="00636980"/>
    <w:rsid w:val="00636B4B"/>
    <w:rsid w:val="0063799C"/>
    <w:rsid w:val="0064047C"/>
    <w:rsid w:val="00641DCC"/>
    <w:rsid w:val="006427BC"/>
    <w:rsid w:val="00644751"/>
    <w:rsid w:val="006453FA"/>
    <w:rsid w:val="00645890"/>
    <w:rsid w:val="00645B76"/>
    <w:rsid w:val="00645E60"/>
    <w:rsid w:val="00646169"/>
    <w:rsid w:val="00646799"/>
    <w:rsid w:val="00650164"/>
    <w:rsid w:val="00650181"/>
    <w:rsid w:val="00650791"/>
    <w:rsid w:val="0065132F"/>
    <w:rsid w:val="00652A17"/>
    <w:rsid w:val="00653934"/>
    <w:rsid w:val="00654865"/>
    <w:rsid w:val="00655963"/>
    <w:rsid w:val="00656D70"/>
    <w:rsid w:val="00660475"/>
    <w:rsid w:val="00660A08"/>
    <w:rsid w:val="00661D07"/>
    <w:rsid w:val="006620D9"/>
    <w:rsid w:val="00662FB1"/>
    <w:rsid w:val="006642A3"/>
    <w:rsid w:val="00664E1F"/>
    <w:rsid w:val="00665D62"/>
    <w:rsid w:val="00665F84"/>
    <w:rsid w:val="00666364"/>
    <w:rsid w:val="006676EC"/>
    <w:rsid w:val="0066774A"/>
    <w:rsid w:val="00667BB0"/>
    <w:rsid w:val="00667F81"/>
    <w:rsid w:val="00670450"/>
    <w:rsid w:val="006705FB"/>
    <w:rsid w:val="00671107"/>
    <w:rsid w:val="00671486"/>
    <w:rsid w:val="00672CEC"/>
    <w:rsid w:val="00672EC7"/>
    <w:rsid w:val="00673D33"/>
    <w:rsid w:val="00673EFC"/>
    <w:rsid w:val="006747F0"/>
    <w:rsid w:val="00674D7A"/>
    <w:rsid w:val="00674E03"/>
    <w:rsid w:val="0067538F"/>
    <w:rsid w:val="0067567A"/>
    <w:rsid w:val="00675759"/>
    <w:rsid w:val="00675C2E"/>
    <w:rsid w:val="00675E64"/>
    <w:rsid w:val="00680308"/>
    <w:rsid w:val="006809AE"/>
    <w:rsid w:val="006818A1"/>
    <w:rsid w:val="00681D4C"/>
    <w:rsid w:val="00683714"/>
    <w:rsid w:val="006841B5"/>
    <w:rsid w:val="006844C5"/>
    <w:rsid w:val="00685014"/>
    <w:rsid w:val="00690556"/>
    <w:rsid w:val="006907E4"/>
    <w:rsid w:val="00690955"/>
    <w:rsid w:val="00690ECD"/>
    <w:rsid w:val="00691BFD"/>
    <w:rsid w:val="0069222B"/>
    <w:rsid w:val="006928CD"/>
    <w:rsid w:val="0069365B"/>
    <w:rsid w:val="006944D1"/>
    <w:rsid w:val="00694CE6"/>
    <w:rsid w:val="00695974"/>
    <w:rsid w:val="00695B48"/>
    <w:rsid w:val="00695C6E"/>
    <w:rsid w:val="00696018"/>
    <w:rsid w:val="006972EF"/>
    <w:rsid w:val="006A08CE"/>
    <w:rsid w:val="006A314D"/>
    <w:rsid w:val="006A468A"/>
    <w:rsid w:val="006A57DD"/>
    <w:rsid w:val="006A7440"/>
    <w:rsid w:val="006A7771"/>
    <w:rsid w:val="006A79B5"/>
    <w:rsid w:val="006B22F4"/>
    <w:rsid w:val="006B23BF"/>
    <w:rsid w:val="006B2B0B"/>
    <w:rsid w:val="006B3D1C"/>
    <w:rsid w:val="006B43DB"/>
    <w:rsid w:val="006B6D20"/>
    <w:rsid w:val="006B75AE"/>
    <w:rsid w:val="006B7FDD"/>
    <w:rsid w:val="006C1D95"/>
    <w:rsid w:val="006C203B"/>
    <w:rsid w:val="006C28DD"/>
    <w:rsid w:val="006C3167"/>
    <w:rsid w:val="006C344C"/>
    <w:rsid w:val="006C54DD"/>
    <w:rsid w:val="006C63A6"/>
    <w:rsid w:val="006C6D3D"/>
    <w:rsid w:val="006C736C"/>
    <w:rsid w:val="006D0340"/>
    <w:rsid w:val="006D0B08"/>
    <w:rsid w:val="006D0EBB"/>
    <w:rsid w:val="006D1A3F"/>
    <w:rsid w:val="006D4033"/>
    <w:rsid w:val="006D4175"/>
    <w:rsid w:val="006D46F3"/>
    <w:rsid w:val="006D499A"/>
    <w:rsid w:val="006D4D40"/>
    <w:rsid w:val="006D5314"/>
    <w:rsid w:val="006D5ECF"/>
    <w:rsid w:val="006E0826"/>
    <w:rsid w:val="006E1B57"/>
    <w:rsid w:val="006E3334"/>
    <w:rsid w:val="006E3C5F"/>
    <w:rsid w:val="006E4319"/>
    <w:rsid w:val="006E49E9"/>
    <w:rsid w:val="006E5B1F"/>
    <w:rsid w:val="006E5C7A"/>
    <w:rsid w:val="006E5F6A"/>
    <w:rsid w:val="006E6684"/>
    <w:rsid w:val="006F0025"/>
    <w:rsid w:val="006F01E4"/>
    <w:rsid w:val="006F0678"/>
    <w:rsid w:val="006F07CA"/>
    <w:rsid w:val="006F0C3A"/>
    <w:rsid w:val="006F1DC7"/>
    <w:rsid w:val="006F2E91"/>
    <w:rsid w:val="006F2FBF"/>
    <w:rsid w:val="006F3BBD"/>
    <w:rsid w:val="006F4CCD"/>
    <w:rsid w:val="006F68E9"/>
    <w:rsid w:val="006F6F8D"/>
    <w:rsid w:val="007004FC"/>
    <w:rsid w:val="00700887"/>
    <w:rsid w:val="00700E5D"/>
    <w:rsid w:val="007018E2"/>
    <w:rsid w:val="00702726"/>
    <w:rsid w:val="0070340F"/>
    <w:rsid w:val="0070468A"/>
    <w:rsid w:val="00705053"/>
    <w:rsid w:val="00705A6D"/>
    <w:rsid w:val="00706403"/>
    <w:rsid w:val="007075CF"/>
    <w:rsid w:val="007101ED"/>
    <w:rsid w:val="00711AF8"/>
    <w:rsid w:val="00712ACD"/>
    <w:rsid w:val="00713BF0"/>
    <w:rsid w:val="00714483"/>
    <w:rsid w:val="00715DCB"/>
    <w:rsid w:val="007162E0"/>
    <w:rsid w:val="00716A80"/>
    <w:rsid w:val="00716B97"/>
    <w:rsid w:val="007177AB"/>
    <w:rsid w:val="00721266"/>
    <w:rsid w:val="007212AA"/>
    <w:rsid w:val="0072211A"/>
    <w:rsid w:val="0072254B"/>
    <w:rsid w:val="00722C93"/>
    <w:rsid w:val="0072315F"/>
    <w:rsid w:val="0072449A"/>
    <w:rsid w:val="0072617F"/>
    <w:rsid w:val="00726507"/>
    <w:rsid w:val="00726879"/>
    <w:rsid w:val="007279D2"/>
    <w:rsid w:val="00727D22"/>
    <w:rsid w:val="0073011A"/>
    <w:rsid w:val="007317A8"/>
    <w:rsid w:val="00731ED6"/>
    <w:rsid w:val="00732B22"/>
    <w:rsid w:val="00733588"/>
    <w:rsid w:val="0073362E"/>
    <w:rsid w:val="007339A0"/>
    <w:rsid w:val="00733EED"/>
    <w:rsid w:val="00735EF2"/>
    <w:rsid w:val="00737E57"/>
    <w:rsid w:val="007400F0"/>
    <w:rsid w:val="00740887"/>
    <w:rsid w:val="00741291"/>
    <w:rsid w:val="00741534"/>
    <w:rsid w:val="00741A8E"/>
    <w:rsid w:val="0074201E"/>
    <w:rsid w:val="007440CD"/>
    <w:rsid w:val="00744681"/>
    <w:rsid w:val="0074493D"/>
    <w:rsid w:val="007454EB"/>
    <w:rsid w:val="0074609C"/>
    <w:rsid w:val="007462C0"/>
    <w:rsid w:val="00746788"/>
    <w:rsid w:val="0074703B"/>
    <w:rsid w:val="007506F8"/>
    <w:rsid w:val="007512DF"/>
    <w:rsid w:val="007517BC"/>
    <w:rsid w:val="00752486"/>
    <w:rsid w:val="00752807"/>
    <w:rsid w:val="00752AB2"/>
    <w:rsid w:val="00753038"/>
    <w:rsid w:val="007563B9"/>
    <w:rsid w:val="00756CD0"/>
    <w:rsid w:val="00760691"/>
    <w:rsid w:val="00760F1D"/>
    <w:rsid w:val="00762CA9"/>
    <w:rsid w:val="007653A0"/>
    <w:rsid w:val="00765766"/>
    <w:rsid w:val="00765FB9"/>
    <w:rsid w:val="007665A4"/>
    <w:rsid w:val="00766FDC"/>
    <w:rsid w:val="00767DED"/>
    <w:rsid w:val="00770F47"/>
    <w:rsid w:val="0077171D"/>
    <w:rsid w:val="00771E8F"/>
    <w:rsid w:val="007723E7"/>
    <w:rsid w:val="0077288A"/>
    <w:rsid w:val="00772BEB"/>
    <w:rsid w:val="00773D3D"/>
    <w:rsid w:val="00774193"/>
    <w:rsid w:val="00774560"/>
    <w:rsid w:val="0077668D"/>
    <w:rsid w:val="0077749B"/>
    <w:rsid w:val="00777AD5"/>
    <w:rsid w:val="00780300"/>
    <w:rsid w:val="0078140F"/>
    <w:rsid w:val="007835A2"/>
    <w:rsid w:val="00783BDA"/>
    <w:rsid w:val="0078481F"/>
    <w:rsid w:val="00784927"/>
    <w:rsid w:val="00785175"/>
    <w:rsid w:val="00785A40"/>
    <w:rsid w:val="00785B97"/>
    <w:rsid w:val="00786D5D"/>
    <w:rsid w:val="0078772B"/>
    <w:rsid w:val="007879B3"/>
    <w:rsid w:val="00787CFF"/>
    <w:rsid w:val="00791308"/>
    <w:rsid w:val="00791681"/>
    <w:rsid w:val="00791725"/>
    <w:rsid w:val="00791B59"/>
    <w:rsid w:val="0079295C"/>
    <w:rsid w:val="00792C5F"/>
    <w:rsid w:val="007937AC"/>
    <w:rsid w:val="00793B1D"/>
    <w:rsid w:val="00793D9B"/>
    <w:rsid w:val="00795B27"/>
    <w:rsid w:val="007969C7"/>
    <w:rsid w:val="007977C3"/>
    <w:rsid w:val="007A043E"/>
    <w:rsid w:val="007A0927"/>
    <w:rsid w:val="007A1325"/>
    <w:rsid w:val="007A1779"/>
    <w:rsid w:val="007A1848"/>
    <w:rsid w:val="007A21AB"/>
    <w:rsid w:val="007A2203"/>
    <w:rsid w:val="007A2286"/>
    <w:rsid w:val="007A3DA7"/>
    <w:rsid w:val="007A47E1"/>
    <w:rsid w:val="007A5A3C"/>
    <w:rsid w:val="007A6A86"/>
    <w:rsid w:val="007A70A7"/>
    <w:rsid w:val="007A7BF8"/>
    <w:rsid w:val="007A7C6A"/>
    <w:rsid w:val="007B117E"/>
    <w:rsid w:val="007B11BE"/>
    <w:rsid w:val="007B192A"/>
    <w:rsid w:val="007B29AF"/>
    <w:rsid w:val="007B7BFD"/>
    <w:rsid w:val="007C1901"/>
    <w:rsid w:val="007C1AA4"/>
    <w:rsid w:val="007C1FDB"/>
    <w:rsid w:val="007C26C7"/>
    <w:rsid w:val="007C2760"/>
    <w:rsid w:val="007C369A"/>
    <w:rsid w:val="007C3E23"/>
    <w:rsid w:val="007C48DF"/>
    <w:rsid w:val="007C4B89"/>
    <w:rsid w:val="007C550F"/>
    <w:rsid w:val="007C58EE"/>
    <w:rsid w:val="007C6281"/>
    <w:rsid w:val="007C6B7A"/>
    <w:rsid w:val="007C76AD"/>
    <w:rsid w:val="007D07A0"/>
    <w:rsid w:val="007D18E6"/>
    <w:rsid w:val="007D1FEF"/>
    <w:rsid w:val="007D2849"/>
    <w:rsid w:val="007D29E8"/>
    <w:rsid w:val="007D2BF8"/>
    <w:rsid w:val="007D39C3"/>
    <w:rsid w:val="007D3A85"/>
    <w:rsid w:val="007D3AFE"/>
    <w:rsid w:val="007D3EE0"/>
    <w:rsid w:val="007D5575"/>
    <w:rsid w:val="007D6727"/>
    <w:rsid w:val="007D7240"/>
    <w:rsid w:val="007D7DC9"/>
    <w:rsid w:val="007E2A68"/>
    <w:rsid w:val="007E38E7"/>
    <w:rsid w:val="007E50A5"/>
    <w:rsid w:val="007E5422"/>
    <w:rsid w:val="007E5540"/>
    <w:rsid w:val="007E7B98"/>
    <w:rsid w:val="007E7DA2"/>
    <w:rsid w:val="007F018E"/>
    <w:rsid w:val="007F0C34"/>
    <w:rsid w:val="007F223B"/>
    <w:rsid w:val="007F330C"/>
    <w:rsid w:val="007F5C48"/>
    <w:rsid w:val="007F7CC3"/>
    <w:rsid w:val="008022EA"/>
    <w:rsid w:val="00802B65"/>
    <w:rsid w:val="0080369B"/>
    <w:rsid w:val="00804764"/>
    <w:rsid w:val="00805297"/>
    <w:rsid w:val="00805EAF"/>
    <w:rsid w:val="00806081"/>
    <w:rsid w:val="008067BB"/>
    <w:rsid w:val="008076DA"/>
    <w:rsid w:val="008108B3"/>
    <w:rsid w:val="00810D61"/>
    <w:rsid w:val="00811622"/>
    <w:rsid w:val="008116F5"/>
    <w:rsid w:val="00811C92"/>
    <w:rsid w:val="00811DA5"/>
    <w:rsid w:val="008123E0"/>
    <w:rsid w:val="008125BB"/>
    <w:rsid w:val="00812B61"/>
    <w:rsid w:val="008135B3"/>
    <w:rsid w:val="008144C8"/>
    <w:rsid w:val="00815598"/>
    <w:rsid w:val="00815BBD"/>
    <w:rsid w:val="00815CCB"/>
    <w:rsid w:val="00815F22"/>
    <w:rsid w:val="008163C2"/>
    <w:rsid w:val="00816C6C"/>
    <w:rsid w:val="00817DFC"/>
    <w:rsid w:val="0082117A"/>
    <w:rsid w:val="0082135E"/>
    <w:rsid w:val="00823543"/>
    <w:rsid w:val="008235A3"/>
    <w:rsid w:val="0082385F"/>
    <w:rsid w:val="008247A7"/>
    <w:rsid w:val="0082551F"/>
    <w:rsid w:val="00825DA8"/>
    <w:rsid w:val="008263BD"/>
    <w:rsid w:val="00826830"/>
    <w:rsid w:val="00830BBC"/>
    <w:rsid w:val="00830FE9"/>
    <w:rsid w:val="0083227C"/>
    <w:rsid w:val="00833307"/>
    <w:rsid w:val="00833BEC"/>
    <w:rsid w:val="00833C37"/>
    <w:rsid w:val="00834DBF"/>
    <w:rsid w:val="008361B7"/>
    <w:rsid w:val="00836EB1"/>
    <w:rsid w:val="008402A3"/>
    <w:rsid w:val="00841907"/>
    <w:rsid w:val="00842406"/>
    <w:rsid w:val="00842729"/>
    <w:rsid w:val="00842EA5"/>
    <w:rsid w:val="0084354A"/>
    <w:rsid w:val="008438FC"/>
    <w:rsid w:val="0084480B"/>
    <w:rsid w:val="00850797"/>
    <w:rsid w:val="0085157B"/>
    <w:rsid w:val="00851743"/>
    <w:rsid w:val="00851C5A"/>
    <w:rsid w:val="008525D0"/>
    <w:rsid w:val="00852C1E"/>
    <w:rsid w:val="0085518B"/>
    <w:rsid w:val="00855CFD"/>
    <w:rsid w:val="0085606D"/>
    <w:rsid w:val="00856226"/>
    <w:rsid w:val="00857989"/>
    <w:rsid w:val="008601BF"/>
    <w:rsid w:val="008608C7"/>
    <w:rsid w:val="008610F6"/>
    <w:rsid w:val="00861D67"/>
    <w:rsid w:val="00861EA2"/>
    <w:rsid w:val="008638AD"/>
    <w:rsid w:val="0086555B"/>
    <w:rsid w:val="00867AE5"/>
    <w:rsid w:val="00870C58"/>
    <w:rsid w:val="00872C64"/>
    <w:rsid w:val="008737C2"/>
    <w:rsid w:val="008738AC"/>
    <w:rsid w:val="00874476"/>
    <w:rsid w:val="00875541"/>
    <w:rsid w:val="0087629A"/>
    <w:rsid w:val="00876E30"/>
    <w:rsid w:val="008771B8"/>
    <w:rsid w:val="00880E8D"/>
    <w:rsid w:val="00880FB3"/>
    <w:rsid w:val="00881FE7"/>
    <w:rsid w:val="00884356"/>
    <w:rsid w:val="00884B30"/>
    <w:rsid w:val="00887A65"/>
    <w:rsid w:val="00887CF2"/>
    <w:rsid w:val="00887ECB"/>
    <w:rsid w:val="00890242"/>
    <w:rsid w:val="0089063C"/>
    <w:rsid w:val="00890961"/>
    <w:rsid w:val="008911A1"/>
    <w:rsid w:val="008918F5"/>
    <w:rsid w:val="00891A4B"/>
    <w:rsid w:val="00891B0B"/>
    <w:rsid w:val="00892D5B"/>
    <w:rsid w:val="0089319E"/>
    <w:rsid w:val="00893FBC"/>
    <w:rsid w:val="008944AE"/>
    <w:rsid w:val="00894993"/>
    <w:rsid w:val="00894DD1"/>
    <w:rsid w:val="008A079D"/>
    <w:rsid w:val="008A184D"/>
    <w:rsid w:val="008A19B9"/>
    <w:rsid w:val="008A2455"/>
    <w:rsid w:val="008A28BC"/>
    <w:rsid w:val="008A40B3"/>
    <w:rsid w:val="008A472E"/>
    <w:rsid w:val="008A5C57"/>
    <w:rsid w:val="008A64AF"/>
    <w:rsid w:val="008A661F"/>
    <w:rsid w:val="008B0899"/>
    <w:rsid w:val="008B0930"/>
    <w:rsid w:val="008B0C38"/>
    <w:rsid w:val="008B1218"/>
    <w:rsid w:val="008B14B1"/>
    <w:rsid w:val="008B2841"/>
    <w:rsid w:val="008B2CC7"/>
    <w:rsid w:val="008B2E85"/>
    <w:rsid w:val="008B317E"/>
    <w:rsid w:val="008B339D"/>
    <w:rsid w:val="008B38F2"/>
    <w:rsid w:val="008B5036"/>
    <w:rsid w:val="008B5075"/>
    <w:rsid w:val="008B5843"/>
    <w:rsid w:val="008B5BAC"/>
    <w:rsid w:val="008C02CB"/>
    <w:rsid w:val="008C089B"/>
    <w:rsid w:val="008C13D4"/>
    <w:rsid w:val="008C159A"/>
    <w:rsid w:val="008C2248"/>
    <w:rsid w:val="008C2D42"/>
    <w:rsid w:val="008C4658"/>
    <w:rsid w:val="008C46B6"/>
    <w:rsid w:val="008C550F"/>
    <w:rsid w:val="008C5EF1"/>
    <w:rsid w:val="008D1A14"/>
    <w:rsid w:val="008D2164"/>
    <w:rsid w:val="008D2213"/>
    <w:rsid w:val="008D3015"/>
    <w:rsid w:val="008D3B9F"/>
    <w:rsid w:val="008D4290"/>
    <w:rsid w:val="008D4858"/>
    <w:rsid w:val="008D4E50"/>
    <w:rsid w:val="008D50C4"/>
    <w:rsid w:val="008D55D1"/>
    <w:rsid w:val="008D5C1D"/>
    <w:rsid w:val="008D6663"/>
    <w:rsid w:val="008D668B"/>
    <w:rsid w:val="008D73C3"/>
    <w:rsid w:val="008D74A3"/>
    <w:rsid w:val="008D7A4A"/>
    <w:rsid w:val="008E0F15"/>
    <w:rsid w:val="008E19E7"/>
    <w:rsid w:val="008E27A1"/>
    <w:rsid w:val="008E3020"/>
    <w:rsid w:val="008E33AA"/>
    <w:rsid w:val="008E3B2F"/>
    <w:rsid w:val="008E3E51"/>
    <w:rsid w:val="008E56DE"/>
    <w:rsid w:val="008E5AA7"/>
    <w:rsid w:val="008E62BF"/>
    <w:rsid w:val="008E6746"/>
    <w:rsid w:val="008E7311"/>
    <w:rsid w:val="008F088F"/>
    <w:rsid w:val="008F1386"/>
    <w:rsid w:val="008F243A"/>
    <w:rsid w:val="008F2D7C"/>
    <w:rsid w:val="008F37AA"/>
    <w:rsid w:val="008F3CC8"/>
    <w:rsid w:val="008F3DB2"/>
    <w:rsid w:val="008F4276"/>
    <w:rsid w:val="008F4382"/>
    <w:rsid w:val="008F476B"/>
    <w:rsid w:val="008F4C0A"/>
    <w:rsid w:val="008F65F8"/>
    <w:rsid w:val="00900057"/>
    <w:rsid w:val="009006F6"/>
    <w:rsid w:val="00900A86"/>
    <w:rsid w:val="00900DC1"/>
    <w:rsid w:val="009011B2"/>
    <w:rsid w:val="009023FA"/>
    <w:rsid w:val="00903347"/>
    <w:rsid w:val="009035F6"/>
    <w:rsid w:val="00904C5C"/>
    <w:rsid w:val="009051D9"/>
    <w:rsid w:val="00905AAC"/>
    <w:rsid w:val="0090679F"/>
    <w:rsid w:val="009111EF"/>
    <w:rsid w:val="0091125E"/>
    <w:rsid w:val="009114D1"/>
    <w:rsid w:val="00911897"/>
    <w:rsid w:val="009118E1"/>
    <w:rsid w:val="00911BC1"/>
    <w:rsid w:val="00912250"/>
    <w:rsid w:val="00912D2D"/>
    <w:rsid w:val="0091396B"/>
    <w:rsid w:val="00914502"/>
    <w:rsid w:val="00915554"/>
    <w:rsid w:val="009157E1"/>
    <w:rsid w:val="00917BA7"/>
    <w:rsid w:val="00917F0C"/>
    <w:rsid w:val="0092140F"/>
    <w:rsid w:val="00921912"/>
    <w:rsid w:val="00922B86"/>
    <w:rsid w:val="00923343"/>
    <w:rsid w:val="00924DA0"/>
    <w:rsid w:val="009250F0"/>
    <w:rsid w:val="00926DE9"/>
    <w:rsid w:val="00927048"/>
    <w:rsid w:val="009273B1"/>
    <w:rsid w:val="009301D0"/>
    <w:rsid w:val="00931650"/>
    <w:rsid w:val="00932438"/>
    <w:rsid w:val="009339C9"/>
    <w:rsid w:val="0093499E"/>
    <w:rsid w:val="00935A9E"/>
    <w:rsid w:val="00936836"/>
    <w:rsid w:val="00936D94"/>
    <w:rsid w:val="00940387"/>
    <w:rsid w:val="0094123C"/>
    <w:rsid w:val="00942221"/>
    <w:rsid w:val="00942C16"/>
    <w:rsid w:val="009442C7"/>
    <w:rsid w:val="009445B6"/>
    <w:rsid w:val="00944C74"/>
    <w:rsid w:val="00944E99"/>
    <w:rsid w:val="00945D73"/>
    <w:rsid w:val="009478D7"/>
    <w:rsid w:val="00947F70"/>
    <w:rsid w:val="0095075C"/>
    <w:rsid w:val="00950D83"/>
    <w:rsid w:val="00951BB3"/>
    <w:rsid w:val="009535A7"/>
    <w:rsid w:val="00953664"/>
    <w:rsid w:val="00953BE4"/>
    <w:rsid w:val="00953BF6"/>
    <w:rsid w:val="00954BAE"/>
    <w:rsid w:val="00955B45"/>
    <w:rsid w:val="00957841"/>
    <w:rsid w:val="009603FB"/>
    <w:rsid w:val="00960B44"/>
    <w:rsid w:val="00962535"/>
    <w:rsid w:val="00962A66"/>
    <w:rsid w:val="00964F79"/>
    <w:rsid w:val="0096545F"/>
    <w:rsid w:val="009701B2"/>
    <w:rsid w:val="00971F43"/>
    <w:rsid w:val="0097288B"/>
    <w:rsid w:val="009730F5"/>
    <w:rsid w:val="009733CD"/>
    <w:rsid w:val="009733E9"/>
    <w:rsid w:val="009749EC"/>
    <w:rsid w:val="00980570"/>
    <w:rsid w:val="00980AFD"/>
    <w:rsid w:val="009822A6"/>
    <w:rsid w:val="00984FF7"/>
    <w:rsid w:val="00985603"/>
    <w:rsid w:val="009858D7"/>
    <w:rsid w:val="009866EA"/>
    <w:rsid w:val="00987002"/>
    <w:rsid w:val="00987601"/>
    <w:rsid w:val="0099078B"/>
    <w:rsid w:val="009935A7"/>
    <w:rsid w:val="00993BE7"/>
    <w:rsid w:val="00995EAC"/>
    <w:rsid w:val="00995F55"/>
    <w:rsid w:val="009963E1"/>
    <w:rsid w:val="00997B4C"/>
    <w:rsid w:val="00997EE1"/>
    <w:rsid w:val="009A191B"/>
    <w:rsid w:val="009A2186"/>
    <w:rsid w:val="009A2261"/>
    <w:rsid w:val="009A2B8E"/>
    <w:rsid w:val="009A3754"/>
    <w:rsid w:val="009A3951"/>
    <w:rsid w:val="009A40A4"/>
    <w:rsid w:val="009A6070"/>
    <w:rsid w:val="009A7833"/>
    <w:rsid w:val="009A7E0C"/>
    <w:rsid w:val="009B04B0"/>
    <w:rsid w:val="009B1141"/>
    <w:rsid w:val="009B16FD"/>
    <w:rsid w:val="009B1A04"/>
    <w:rsid w:val="009B2D63"/>
    <w:rsid w:val="009B3DB1"/>
    <w:rsid w:val="009B5426"/>
    <w:rsid w:val="009B5C1F"/>
    <w:rsid w:val="009B5F0F"/>
    <w:rsid w:val="009B6984"/>
    <w:rsid w:val="009B743C"/>
    <w:rsid w:val="009B77AB"/>
    <w:rsid w:val="009B7F70"/>
    <w:rsid w:val="009C0522"/>
    <w:rsid w:val="009C06A4"/>
    <w:rsid w:val="009C0901"/>
    <w:rsid w:val="009C1B51"/>
    <w:rsid w:val="009C1C90"/>
    <w:rsid w:val="009C2102"/>
    <w:rsid w:val="009C37CF"/>
    <w:rsid w:val="009C382D"/>
    <w:rsid w:val="009C3CC0"/>
    <w:rsid w:val="009C3D01"/>
    <w:rsid w:val="009C466A"/>
    <w:rsid w:val="009C4FB4"/>
    <w:rsid w:val="009C553C"/>
    <w:rsid w:val="009C5ECC"/>
    <w:rsid w:val="009C670C"/>
    <w:rsid w:val="009C6AE4"/>
    <w:rsid w:val="009D0646"/>
    <w:rsid w:val="009D16D0"/>
    <w:rsid w:val="009D29A4"/>
    <w:rsid w:val="009D2A40"/>
    <w:rsid w:val="009D2A57"/>
    <w:rsid w:val="009D43FB"/>
    <w:rsid w:val="009D4649"/>
    <w:rsid w:val="009D4FFF"/>
    <w:rsid w:val="009D5B24"/>
    <w:rsid w:val="009D6471"/>
    <w:rsid w:val="009D676E"/>
    <w:rsid w:val="009D6AD2"/>
    <w:rsid w:val="009D6AF1"/>
    <w:rsid w:val="009D6DA6"/>
    <w:rsid w:val="009D74A7"/>
    <w:rsid w:val="009D7A0C"/>
    <w:rsid w:val="009E0A41"/>
    <w:rsid w:val="009E15A0"/>
    <w:rsid w:val="009E1961"/>
    <w:rsid w:val="009E2534"/>
    <w:rsid w:val="009E2A2A"/>
    <w:rsid w:val="009E2D6C"/>
    <w:rsid w:val="009E2D7C"/>
    <w:rsid w:val="009E41F3"/>
    <w:rsid w:val="009E42ED"/>
    <w:rsid w:val="009E573A"/>
    <w:rsid w:val="009E5F9F"/>
    <w:rsid w:val="009E65CF"/>
    <w:rsid w:val="009E6A70"/>
    <w:rsid w:val="009E7542"/>
    <w:rsid w:val="009E7B5C"/>
    <w:rsid w:val="009E7E6B"/>
    <w:rsid w:val="009F0897"/>
    <w:rsid w:val="009F0B38"/>
    <w:rsid w:val="009F0BF9"/>
    <w:rsid w:val="009F0D99"/>
    <w:rsid w:val="009F19AD"/>
    <w:rsid w:val="009F437C"/>
    <w:rsid w:val="009F55B6"/>
    <w:rsid w:val="00A006A4"/>
    <w:rsid w:val="00A01038"/>
    <w:rsid w:val="00A02556"/>
    <w:rsid w:val="00A02799"/>
    <w:rsid w:val="00A03F31"/>
    <w:rsid w:val="00A04806"/>
    <w:rsid w:val="00A06986"/>
    <w:rsid w:val="00A06A65"/>
    <w:rsid w:val="00A06A9F"/>
    <w:rsid w:val="00A07984"/>
    <w:rsid w:val="00A109D8"/>
    <w:rsid w:val="00A11D36"/>
    <w:rsid w:val="00A11E5D"/>
    <w:rsid w:val="00A129F6"/>
    <w:rsid w:val="00A13553"/>
    <w:rsid w:val="00A13F3F"/>
    <w:rsid w:val="00A15673"/>
    <w:rsid w:val="00A15849"/>
    <w:rsid w:val="00A17ACF"/>
    <w:rsid w:val="00A2243D"/>
    <w:rsid w:val="00A22B9A"/>
    <w:rsid w:val="00A23AA5"/>
    <w:rsid w:val="00A26379"/>
    <w:rsid w:val="00A26BA0"/>
    <w:rsid w:val="00A274B7"/>
    <w:rsid w:val="00A279E5"/>
    <w:rsid w:val="00A27DF3"/>
    <w:rsid w:val="00A30000"/>
    <w:rsid w:val="00A30B3C"/>
    <w:rsid w:val="00A3133C"/>
    <w:rsid w:val="00A31C58"/>
    <w:rsid w:val="00A32C0D"/>
    <w:rsid w:val="00A34196"/>
    <w:rsid w:val="00A346EB"/>
    <w:rsid w:val="00A348BB"/>
    <w:rsid w:val="00A35DE2"/>
    <w:rsid w:val="00A365A3"/>
    <w:rsid w:val="00A37A06"/>
    <w:rsid w:val="00A41BD3"/>
    <w:rsid w:val="00A41C61"/>
    <w:rsid w:val="00A44A75"/>
    <w:rsid w:val="00A45324"/>
    <w:rsid w:val="00A45751"/>
    <w:rsid w:val="00A45B2C"/>
    <w:rsid w:val="00A466C3"/>
    <w:rsid w:val="00A47753"/>
    <w:rsid w:val="00A47AF9"/>
    <w:rsid w:val="00A50514"/>
    <w:rsid w:val="00A5064F"/>
    <w:rsid w:val="00A51C60"/>
    <w:rsid w:val="00A51D39"/>
    <w:rsid w:val="00A51FF4"/>
    <w:rsid w:val="00A520E1"/>
    <w:rsid w:val="00A5247F"/>
    <w:rsid w:val="00A524D1"/>
    <w:rsid w:val="00A52E82"/>
    <w:rsid w:val="00A5334D"/>
    <w:rsid w:val="00A55D15"/>
    <w:rsid w:val="00A56819"/>
    <w:rsid w:val="00A614DE"/>
    <w:rsid w:val="00A63597"/>
    <w:rsid w:val="00A66A56"/>
    <w:rsid w:val="00A679BF"/>
    <w:rsid w:val="00A72D1F"/>
    <w:rsid w:val="00A72EA4"/>
    <w:rsid w:val="00A737D0"/>
    <w:rsid w:val="00A73A7B"/>
    <w:rsid w:val="00A74A06"/>
    <w:rsid w:val="00A74B99"/>
    <w:rsid w:val="00A76270"/>
    <w:rsid w:val="00A764D0"/>
    <w:rsid w:val="00A777DB"/>
    <w:rsid w:val="00A8081D"/>
    <w:rsid w:val="00A816EC"/>
    <w:rsid w:val="00A823D5"/>
    <w:rsid w:val="00A82CE5"/>
    <w:rsid w:val="00A83A64"/>
    <w:rsid w:val="00A840DA"/>
    <w:rsid w:val="00A849DC"/>
    <w:rsid w:val="00A8507A"/>
    <w:rsid w:val="00A859D6"/>
    <w:rsid w:val="00A859E1"/>
    <w:rsid w:val="00A85A47"/>
    <w:rsid w:val="00A8624B"/>
    <w:rsid w:val="00A86D50"/>
    <w:rsid w:val="00A86F4A"/>
    <w:rsid w:val="00A873BF"/>
    <w:rsid w:val="00A90929"/>
    <w:rsid w:val="00A9212A"/>
    <w:rsid w:val="00A937AE"/>
    <w:rsid w:val="00A93CAE"/>
    <w:rsid w:val="00A93E2B"/>
    <w:rsid w:val="00A954AC"/>
    <w:rsid w:val="00A95640"/>
    <w:rsid w:val="00A9615F"/>
    <w:rsid w:val="00A96422"/>
    <w:rsid w:val="00A97510"/>
    <w:rsid w:val="00AA00A6"/>
    <w:rsid w:val="00AA046F"/>
    <w:rsid w:val="00AA077B"/>
    <w:rsid w:val="00AA1E9C"/>
    <w:rsid w:val="00AA21C9"/>
    <w:rsid w:val="00AA21FC"/>
    <w:rsid w:val="00AA3DCF"/>
    <w:rsid w:val="00AA43FA"/>
    <w:rsid w:val="00AA5591"/>
    <w:rsid w:val="00AA5CD9"/>
    <w:rsid w:val="00AA611F"/>
    <w:rsid w:val="00AA6712"/>
    <w:rsid w:val="00AA76AA"/>
    <w:rsid w:val="00AB1FD3"/>
    <w:rsid w:val="00AB2408"/>
    <w:rsid w:val="00AB24B7"/>
    <w:rsid w:val="00AB5F0B"/>
    <w:rsid w:val="00AB60DD"/>
    <w:rsid w:val="00AB6FCF"/>
    <w:rsid w:val="00AB712E"/>
    <w:rsid w:val="00AB7393"/>
    <w:rsid w:val="00AC0D69"/>
    <w:rsid w:val="00AC255B"/>
    <w:rsid w:val="00AC3286"/>
    <w:rsid w:val="00AC32C8"/>
    <w:rsid w:val="00AC34D0"/>
    <w:rsid w:val="00AC63A9"/>
    <w:rsid w:val="00AC68C0"/>
    <w:rsid w:val="00AC7055"/>
    <w:rsid w:val="00AC7A5A"/>
    <w:rsid w:val="00AC7AB2"/>
    <w:rsid w:val="00AD007D"/>
    <w:rsid w:val="00AD0168"/>
    <w:rsid w:val="00AD0261"/>
    <w:rsid w:val="00AD069B"/>
    <w:rsid w:val="00AD0705"/>
    <w:rsid w:val="00AD197B"/>
    <w:rsid w:val="00AD1AD4"/>
    <w:rsid w:val="00AD208F"/>
    <w:rsid w:val="00AD3698"/>
    <w:rsid w:val="00AD58D6"/>
    <w:rsid w:val="00AD7F7C"/>
    <w:rsid w:val="00AD7FA8"/>
    <w:rsid w:val="00AE0098"/>
    <w:rsid w:val="00AE0F91"/>
    <w:rsid w:val="00AE1AE9"/>
    <w:rsid w:val="00AE2C76"/>
    <w:rsid w:val="00AE2F3D"/>
    <w:rsid w:val="00AE31D7"/>
    <w:rsid w:val="00AE34FB"/>
    <w:rsid w:val="00AE51F4"/>
    <w:rsid w:val="00AE595A"/>
    <w:rsid w:val="00AE61F3"/>
    <w:rsid w:val="00AE745B"/>
    <w:rsid w:val="00AF1CBF"/>
    <w:rsid w:val="00AF410B"/>
    <w:rsid w:val="00AF41F4"/>
    <w:rsid w:val="00AF4497"/>
    <w:rsid w:val="00AF4ACC"/>
    <w:rsid w:val="00AF5944"/>
    <w:rsid w:val="00AF7230"/>
    <w:rsid w:val="00AF7C69"/>
    <w:rsid w:val="00B00B0D"/>
    <w:rsid w:val="00B01BC5"/>
    <w:rsid w:val="00B04C2C"/>
    <w:rsid w:val="00B04DD6"/>
    <w:rsid w:val="00B04E8C"/>
    <w:rsid w:val="00B04F42"/>
    <w:rsid w:val="00B05341"/>
    <w:rsid w:val="00B05772"/>
    <w:rsid w:val="00B071A5"/>
    <w:rsid w:val="00B072D7"/>
    <w:rsid w:val="00B07550"/>
    <w:rsid w:val="00B077DF"/>
    <w:rsid w:val="00B07B0A"/>
    <w:rsid w:val="00B105CE"/>
    <w:rsid w:val="00B11643"/>
    <w:rsid w:val="00B136AE"/>
    <w:rsid w:val="00B13CF4"/>
    <w:rsid w:val="00B14554"/>
    <w:rsid w:val="00B146DE"/>
    <w:rsid w:val="00B158CE"/>
    <w:rsid w:val="00B15E51"/>
    <w:rsid w:val="00B165B8"/>
    <w:rsid w:val="00B17F40"/>
    <w:rsid w:val="00B20085"/>
    <w:rsid w:val="00B211F9"/>
    <w:rsid w:val="00B22857"/>
    <w:rsid w:val="00B23343"/>
    <w:rsid w:val="00B23737"/>
    <w:rsid w:val="00B242C9"/>
    <w:rsid w:val="00B257C1"/>
    <w:rsid w:val="00B26C53"/>
    <w:rsid w:val="00B26CF4"/>
    <w:rsid w:val="00B27AA7"/>
    <w:rsid w:val="00B31039"/>
    <w:rsid w:val="00B312B9"/>
    <w:rsid w:val="00B3192E"/>
    <w:rsid w:val="00B32A30"/>
    <w:rsid w:val="00B3306D"/>
    <w:rsid w:val="00B34D90"/>
    <w:rsid w:val="00B35466"/>
    <w:rsid w:val="00B3573B"/>
    <w:rsid w:val="00B35E9A"/>
    <w:rsid w:val="00B361BC"/>
    <w:rsid w:val="00B36AEA"/>
    <w:rsid w:val="00B36E04"/>
    <w:rsid w:val="00B40B8F"/>
    <w:rsid w:val="00B40D8E"/>
    <w:rsid w:val="00B429ED"/>
    <w:rsid w:val="00B43AA5"/>
    <w:rsid w:val="00B44EB4"/>
    <w:rsid w:val="00B45040"/>
    <w:rsid w:val="00B45C3C"/>
    <w:rsid w:val="00B471AE"/>
    <w:rsid w:val="00B47260"/>
    <w:rsid w:val="00B50CD4"/>
    <w:rsid w:val="00B51B99"/>
    <w:rsid w:val="00B5285B"/>
    <w:rsid w:val="00B529D1"/>
    <w:rsid w:val="00B53214"/>
    <w:rsid w:val="00B5323D"/>
    <w:rsid w:val="00B53A7D"/>
    <w:rsid w:val="00B53CFA"/>
    <w:rsid w:val="00B5460E"/>
    <w:rsid w:val="00B54C80"/>
    <w:rsid w:val="00B55699"/>
    <w:rsid w:val="00B55814"/>
    <w:rsid w:val="00B562A1"/>
    <w:rsid w:val="00B56624"/>
    <w:rsid w:val="00B578B9"/>
    <w:rsid w:val="00B57A39"/>
    <w:rsid w:val="00B60119"/>
    <w:rsid w:val="00B60407"/>
    <w:rsid w:val="00B6055E"/>
    <w:rsid w:val="00B60DC9"/>
    <w:rsid w:val="00B6126D"/>
    <w:rsid w:val="00B61350"/>
    <w:rsid w:val="00B61A75"/>
    <w:rsid w:val="00B61F0C"/>
    <w:rsid w:val="00B620C7"/>
    <w:rsid w:val="00B62478"/>
    <w:rsid w:val="00B624AF"/>
    <w:rsid w:val="00B62A92"/>
    <w:rsid w:val="00B62E62"/>
    <w:rsid w:val="00B6385A"/>
    <w:rsid w:val="00B64C05"/>
    <w:rsid w:val="00B64D74"/>
    <w:rsid w:val="00B654AF"/>
    <w:rsid w:val="00B66561"/>
    <w:rsid w:val="00B71235"/>
    <w:rsid w:val="00B718D0"/>
    <w:rsid w:val="00B71D16"/>
    <w:rsid w:val="00B71D9D"/>
    <w:rsid w:val="00B73726"/>
    <w:rsid w:val="00B7399E"/>
    <w:rsid w:val="00B73F9C"/>
    <w:rsid w:val="00B75318"/>
    <w:rsid w:val="00B76AC6"/>
    <w:rsid w:val="00B8021D"/>
    <w:rsid w:val="00B815AF"/>
    <w:rsid w:val="00B81660"/>
    <w:rsid w:val="00B82A5D"/>
    <w:rsid w:val="00B83188"/>
    <w:rsid w:val="00B83E34"/>
    <w:rsid w:val="00B8466E"/>
    <w:rsid w:val="00B846EA"/>
    <w:rsid w:val="00B8531A"/>
    <w:rsid w:val="00B8599D"/>
    <w:rsid w:val="00B86FAA"/>
    <w:rsid w:val="00B87784"/>
    <w:rsid w:val="00B8783D"/>
    <w:rsid w:val="00B87A07"/>
    <w:rsid w:val="00B87AA0"/>
    <w:rsid w:val="00B904C0"/>
    <w:rsid w:val="00B92432"/>
    <w:rsid w:val="00B92FB6"/>
    <w:rsid w:val="00B93F13"/>
    <w:rsid w:val="00B95D2A"/>
    <w:rsid w:val="00B96FC5"/>
    <w:rsid w:val="00BA0BC1"/>
    <w:rsid w:val="00BA1242"/>
    <w:rsid w:val="00BA1819"/>
    <w:rsid w:val="00BA33AC"/>
    <w:rsid w:val="00BA3C0C"/>
    <w:rsid w:val="00BA44EF"/>
    <w:rsid w:val="00BA4CD8"/>
    <w:rsid w:val="00BA6647"/>
    <w:rsid w:val="00BB0654"/>
    <w:rsid w:val="00BB0FAA"/>
    <w:rsid w:val="00BB26A9"/>
    <w:rsid w:val="00BB363C"/>
    <w:rsid w:val="00BB3E37"/>
    <w:rsid w:val="00BB5258"/>
    <w:rsid w:val="00BB56CC"/>
    <w:rsid w:val="00BB5B72"/>
    <w:rsid w:val="00BB716E"/>
    <w:rsid w:val="00BC001E"/>
    <w:rsid w:val="00BC136F"/>
    <w:rsid w:val="00BC1371"/>
    <w:rsid w:val="00BC1CDB"/>
    <w:rsid w:val="00BC3263"/>
    <w:rsid w:val="00BC387C"/>
    <w:rsid w:val="00BC3E64"/>
    <w:rsid w:val="00BC4E1C"/>
    <w:rsid w:val="00BC4E28"/>
    <w:rsid w:val="00BC5123"/>
    <w:rsid w:val="00BC62A8"/>
    <w:rsid w:val="00BC6838"/>
    <w:rsid w:val="00BC6D9C"/>
    <w:rsid w:val="00BC6F48"/>
    <w:rsid w:val="00BD156B"/>
    <w:rsid w:val="00BD182C"/>
    <w:rsid w:val="00BD2729"/>
    <w:rsid w:val="00BD27CF"/>
    <w:rsid w:val="00BD30DA"/>
    <w:rsid w:val="00BD3C91"/>
    <w:rsid w:val="00BD4000"/>
    <w:rsid w:val="00BD5CB6"/>
    <w:rsid w:val="00BD5CE8"/>
    <w:rsid w:val="00BD7B8F"/>
    <w:rsid w:val="00BE0766"/>
    <w:rsid w:val="00BE2988"/>
    <w:rsid w:val="00BE2E7F"/>
    <w:rsid w:val="00BE304F"/>
    <w:rsid w:val="00BE408A"/>
    <w:rsid w:val="00BE4B2E"/>
    <w:rsid w:val="00BF0D3E"/>
    <w:rsid w:val="00BF0DC9"/>
    <w:rsid w:val="00BF0F8D"/>
    <w:rsid w:val="00BF11C1"/>
    <w:rsid w:val="00BF3110"/>
    <w:rsid w:val="00BF3973"/>
    <w:rsid w:val="00BF454B"/>
    <w:rsid w:val="00BF5011"/>
    <w:rsid w:val="00BF5B38"/>
    <w:rsid w:val="00BF5FD6"/>
    <w:rsid w:val="00BF6601"/>
    <w:rsid w:val="00BF7F3A"/>
    <w:rsid w:val="00C00A8C"/>
    <w:rsid w:val="00C0116C"/>
    <w:rsid w:val="00C0135A"/>
    <w:rsid w:val="00C018A6"/>
    <w:rsid w:val="00C01989"/>
    <w:rsid w:val="00C02957"/>
    <w:rsid w:val="00C02B69"/>
    <w:rsid w:val="00C02EB8"/>
    <w:rsid w:val="00C032B2"/>
    <w:rsid w:val="00C03C85"/>
    <w:rsid w:val="00C03DD1"/>
    <w:rsid w:val="00C044BD"/>
    <w:rsid w:val="00C05329"/>
    <w:rsid w:val="00C0564D"/>
    <w:rsid w:val="00C06146"/>
    <w:rsid w:val="00C06D6B"/>
    <w:rsid w:val="00C07277"/>
    <w:rsid w:val="00C07592"/>
    <w:rsid w:val="00C1096B"/>
    <w:rsid w:val="00C10C20"/>
    <w:rsid w:val="00C11D04"/>
    <w:rsid w:val="00C125AB"/>
    <w:rsid w:val="00C1264C"/>
    <w:rsid w:val="00C12FCD"/>
    <w:rsid w:val="00C139CB"/>
    <w:rsid w:val="00C13BD8"/>
    <w:rsid w:val="00C13EAA"/>
    <w:rsid w:val="00C1424E"/>
    <w:rsid w:val="00C149B2"/>
    <w:rsid w:val="00C15201"/>
    <w:rsid w:val="00C154FE"/>
    <w:rsid w:val="00C1571E"/>
    <w:rsid w:val="00C15BEB"/>
    <w:rsid w:val="00C20B4E"/>
    <w:rsid w:val="00C223D2"/>
    <w:rsid w:val="00C2243F"/>
    <w:rsid w:val="00C22684"/>
    <w:rsid w:val="00C22694"/>
    <w:rsid w:val="00C2299E"/>
    <w:rsid w:val="00C23201"/>
    <w:rsid w:val="00C24AA5"/>
    <w:rsid w:val="00C25E69"/>
    <w:rsid w:val="00C2679B"/>
    <w:rsid w:val="00C26AD4"/>
    <w:rsid w:val="00C27EDA"/>
    <w:rsid w:val="00C302A0"/>
    <w:rsid w:val="00C31F80"/>
    <w:rsid w:val="00C32096"/>
    <w:rsid w:val="00C3346E"/>
    <w:rsid w:val="00C3350C"/>
    <w:rsid w:val="00C33C0E"/>
    <w:rsid w:val="00C341E8"/>
    <w:rsid w:val="00C34D02"/>
    <w:rsid w:val="00C36B33"/>
    <w:rsid w:val="00C36F28"/>
    <w:rsid w:val="00C372E0"/>
    <w:rsid w:val="00C3734C"/>
    <w:rsid w:val="00C41A8D"/>
    <w:rsid w:val="00C4209E"/>
    <w:rsid w:val="00C438AF"/>
    <w:rsid w:val="00C43988"/>
    <w:rsid w:val="00C43AB0"/>
    <w:rsid w:val="00C43B0A"/>
    <w:rsid w:val="00C43B46"/>
    <w:rsid w:val="00C43CF9"/>
    <w:rsid w:val="00C44EF7"/>
    <w:rsid w:val="00C4558A"/>
    <w:rsid w:val="00C45947"/>
    <w:rsid w:val="00C4631D"/>
    <w:rsid w:val="00C4699B"/>
    <w:rsid w:val="00C47EE4"/>
    <w:rsid w:val="00C5145C"/>
    <w:rsid w:val="00C533C4"/>
    <w:rsid w:val="00C54725"/>
    <w:rsid w:val="00C5486E"/>
    <w:rsid w:val="00C54A71"/>
    <w:rsid w:val="00C56214"/>
    <w:rsid w:val="00C56FCD"/>
    <w:rsid w:val="00C57BDB"/>
    <w:rsid w:val="00C57C7A"/>
    <w:rsid w:val="00C62845"/>
    <w:rsid w:val="00C62DE8"/>
    <w:rsid w:val="00C6306D"/>
    <w:rsid w:val="00C6315C"/>
    <w:rsid w:val="00C63EE6"/>
    <w:rsid w:val="00C649DE"/>
    <w:rsid w:val="00C64F54"/>
    <w:rsid w:val="00C6510F"/>
    <w:rsid w:val="00C672FE"/>
    <w:rsid w:val="00C67909"/>
    <w:rsid w:val="00C67E67"/>
    <w:rsid w:val="00C70EEA"/>
    <w:rsid w:val="00C718B5"/>
    <w:rsid w:val="00C74556"/>
    <w:rsid w:val="00C74806"/>
    <w:rsid w:val="00C74D92"/>
    <w:rsid w:val="00C74E6F"/>
    <w:rsid w:val="00C7574D"/>
    <w:rsid w:val="00C76064"/>
    <w:rsid w:val="00C76866"/>
    <w:rsid w:val="00C7696C"/>
    <w:rsid w:val="00C778B3"/>
    <w:rsid w:val="00C779E5"/>
    <w:rsid w:val="00C8051B"/>
    <w:rsid w:val="00C8075C"/>
    <w:rsid w:val="00C817F2"/>
    <w:rsid w:val="00C8265F"/>
    <w:rsid w:val="00C839E9"/>
    <w:rsid w:val="00C83C02"/>
    <w:rsid w:val="00C83C11"/>
    <w:rsid w:val="00C83D18"/>
    <w:rsid w:val="00C8516C"/>
    <w:rsid w:val="00C85E98"/>
    <w:rsid w:val="00C864CF"/>
    <w:rsid w:val="00C8704A"/>
    <w:rsid w:val="00C902AD"/>
    <w:rsid w:val="00C908DF"/>
    <w:rsid w:val="00C90D4F"/>
    <w:rsid w:val="00C92BF3"/>
    <w:rsid w:val="00C939DB"/>
    <w:rsid w:val="00C93FF3"/>
    <w:rsid w:val="00C957DD"/>
    <w:rsid w:val="00C95A70"/>
    <w:rsid w:val="00C96D78"/>
    <w:rsid w:val="00CA0473"/>
    <w:rsid w:val="00CA083C"/>
    <w:rsid w:val="00CA163E"/>
    <w:rsid w:val="00CA2A1B"/>
    <w:rsid w:val="00CA2EF5"/>
    <w:rsid w:val="00CA31FA"/>
    <w:rsid w:val="00CA35E0"/>
    <w:rsid w:val="00CA3DE5"/>
    <w:rsid w:val="00CA42BC"/>
    <w:rsid w:val="00CA489C"/>
    <w:rsid w:val="00CA501F"/>
    <w:rsid w:val="00CA52D4"/>
    <w:rsid w:val="00CA614F"/>
    <w:rsid w:val="00CB0238"/>
    <w:rsid w:val="00CB207D"/>
    <w:rsid w:val="00CB2260"/>
    <w:rsid w:val="00CB307C"/>
    <w:rsid w:val="00CB43C8"/>
    <w:rsid w:val="00CB4ECD"/>
    <w:rsid w:val="00CB57ED"/>
    <w:rsid w:val="00CB642E"/>
    <w:rsid w:val="00CB6695"/>
    <w:rsid w:val="00CB786E"/>
    <w:rsid w:val="00CB7F29"/>
    <w:rsid w:val="00CC16E8"/>
    <w:rsid w:val="00CC1A1A"/>
    <w:rsid w:val="00CC32E0"/>
    <w:rsid w:val="00CC3375"/>
    <w:rsid w:val="00CC38EF"/>
    <w:rsid w:val="00CC393F"/>
    <w:rsid w:val="00CC3AC6"/>
    <w:rsid w:val="00CC4448"/>
    <w:rsid w:val="00CC4AF2"/>
    <w:rsid w:val="00CC4AF3"/>
    <w:rsid w:val="00CC5F66"/>
    <w:rsid w:val="00CC65E3"/>
    <w:rsid w:val="00CC748E"/>
    <w:rsid w:val="00CD0AC5"/>
    <w:rsid w:val="00CD125E"/>
    <w:rsid w:val="00CD134B"/>
    <w:rsid w:val="00CD1EE0"/>
    <w:rsid w:val="00CD2A05"/>
    <w:rsid w:val="00CD3D28"/>
    <w:rsid w:val="00CD3D30"/>
    <w:rsid w:val="00CD6656"/>
    <w:rsid w:val="00CD66CB"/>
    <w:rsid w:val="00CD677B"/>
    <w:rsid w:val="00CE01FE"/>
    <w:rsid w:val="00CE026E"/>
    <w:rsid w:val="00CE0D91"/>
    <w:rsid w:val="00CE1334"/>
    <w:rsid w:val="00CE1B9A"/>
    <w:rsid w:val="00CE1E51"/>
    <w:rsid w:val="00CE3B1D"/>
    <w:rsid w:val="00CE3F28"/>
    <w:rsid w:val="00CE454A"/>
    <w:rsid w:val="00CE5368"/>
    <w:rsid w:val="00CE5729"/>
    <w:rsid w:val="00CE5B03"/>
    <w:rsid w:val="00CE5F76"/>
    <w:rsid w:val="00CE66C8"/>
    <w:rsid w:val="00CE71DE"/>
    <w:rsid w:val="00CE7809"/>
    <w:rsid w:val="00CF0408"/>
    <w:rsid w:val="00CF3CB7"/>
    <w:rsid w:val="00CF4D3E"/>
    <w:rsid w:val="00CF4D6E"/>
    <w:rsid w:val="00CF58DA"/>
    <w:rsid w:val="00CF672F"/>
    <w:rsid w:val="00CF6B3C"/>
    <w:rsid w:val="00CF6FEB"/>
    <w:rsid w:val="00CF703A"/>
    <w:rsid w:val="00CF70F7"/>
    <w:rsid w:val="00CF7F27"/>
    <w:rsid w:val="00D00CBF"/>
    <w:rsid w:val="00D01135"/>
    <w:rsid w:val="00D0159D"/>
    <w:rsid w:val="00D0163F"/>
    <w:rsid w:val="00D017CB"/>
    <w:rsid w:val="00D02426"/>
    <w:rsid w:val="00D028F0"/>
    <w:rsid w:val="00D03192"/>
    <w:rsid w:val="00D036C2"/>
    <w:rsid w:val="00D04D2E"/>
    <w:rsid w:val="00D04FC6"/>
    <w:rsid w:val="00D0582B"/>
    <w:rsid w:val="00D05957"/>
    <w:rsid w:val="00D05AF4"/>
    <w:rsid w:val="00D05F16"/>
    <w:rsid w:val="00D0770B"/>
    <w:rsid w:val="00D11554"/>
    <w:rsid w:val="00D116D9"/>
    <w:rsid w:val="00D11ABC"/>
    <w:rsid w:val="00D134B9"/>
    <w:rsid w:val="00D1420A"/>
    <w:rsid w:val="00D149EA"/>
    <w:rsid w:val="00D14B4B"/>
    <w:rsid w:val="00D1584B"/>
    <w:rsid w:val="00D15B22"/>
    <w:rsid w:val="00D16E1F"/>
    <w:rsid w:val="00D17AB4"/>
    <w:rsid w:val="00D20422"/>
    <w:rsid w:val="00D2125C"/>
    <w:rsid w:val="00D22216"/>
    <w:rsid w:val="00D22448"/>
    <w:rsid w:val="00D22DEF"/>
    <w:rsid w:val="00D23B14"/>
    <w:rsid w:val="00D24020"/>
    <w:rsid w:val="00D2436A"/>
    <w:rsid w:val="00D2483C"/>
    <w:rsid w:val="00D24D28"/>
    <w:rsid w:val="00D2500E"/>
    <w:rsid w:val="00D26D20"/>
    <w:rsid w:val="00D273AE"/>
    <w:rsid w:val="00D27C3D"/>
    <w:rsid w:val="00D3085E"/>
    <w:rsid w:val="00D312A0"/>
    <w:rsid w:val="00D31B2D"/>
    <w:rsid w:val="00D3223D"/>
    <w:rsid w:val="00D34758"/>
    <w:rsid w:val="00D34C55"/>
    <w:rsid w:val="00D3538C"/>
    <w:rsid w:val="00D35B67"/>
    <w:rsid w:val="00D40508"/>
    <w:rsid w:val="00D41144"/>
    <w:rsid w:val="00D43E85"/>
    <w:rsid w:val="00D44E78"/>
    <w:rsid w:val="00D45117"/>
    <w:rsid w:val="00D45B09"/>
    <w:rsid w:val="00D467CA"/>
    <w:rsid w:val="00D46810"/>
    <w:rsid w:val="00D4753E"/>
    <w:rsid w:val="00D51BEF"/>
    <w:rsid w:val="00D51DD2"/>
    <w:rsid w:val="00D51E2F"/>
    <w:rsid w:val="00D51E5D"/>
    <w:rsid w:val="00D522A5"/>
    <w:rsid w:val="00D53108"/>
    <w:rsid w:val="00D536E4"/>
    <w:rsid w:val="00D53B03"/>
    <w:rsid w:val="00D54A8E"/>
    <w:rsid w:val="00D550BB"/>
    <w:rsid w:val="00D561E2"/>
    <w:rsid w:val="00D572AD"/>
    <w:rsid w:val="00D5758D"/>
    <w:rsid w:val="00D579C8"/>
    <w:rsid w:val="00D60435"/>
    <w:rsid w:val="00D60D6C"/>
    <w:rsid w:val="00D60E30"/>
    <w:rsid w:val="00D61B4E"/>
    <w:rsid w:val="00D62002"/>
    <w:rsid w:val="00D6201B"/>
    <w:rsid w:val="00D6258A"/>
    <w:rsid w:val="00D6285C"/>
    <w:rsid w:val="00D62861"/>
    <w:rsid w:val="00D637AE"/>
    <w:rsid w:val="00D639D9"/>
    <w:rsid w:val="00D64D69"/>
    <w:rsid w:val="00D70155"/>
    <w:rsid w:val="00D702D7"/>
    <w:rsid w:val="00D713B3"/>
    <w:rsid w:val="00D7272E"/>
    <w:rsid w:val="00D740CB"/>
    <w:rsid w:val="00D75802"/>
    <w:rsid w:val="00D76262"/>
    <w:rsid w:val="00D76C87"/>
    <w:rsid w:val="00D7723A"/>
    <w:rsid w:val="00D779B2"/>
    <w:rsid w:val="00D80118"/>
    <w:rsid w:val="00D826C8"/>
    <w:rsid w:val="00D82D1D"/>
    <w:rsid w:val="00D843F9"/>
    <w:rsid w:val="00D8537E"/>
    <w:rsid w:val="00D856CA"/>
    <w:rsid w:val="00D85A2C"/>
    <w:rsid w:val="00D85AD9"/>
    <w:rsid w:val="00D8658B"/>
    <w:rsid w:val="00D87C2A"/>
    <w:rsid w:val="00D90E32"/>
    <w:rsid w:val="00D92284"/>
    <w:rsid w:val="00D9291F"/>
    <w:rsid w:val="00D941D3"/>
    <w:rsid w:val="00D94907"/>
    <w:rsid w:val="00D9552F"/>
    <w:rsid w:val="00D956BC"/>
    <w:rsid w:val="00D96A7B"/>
    <w:rsid w:val="00D973DB"/>
    <w:rsid w:val="00D97B08"/>
    <w:rsid w:val="00DA1E8D"/>
    <w:rsid w:val="00DA25C7"/>
    <w:rsid w:val="00DA29D0"/>
    <w:rsid w:val="00DA34BD"/>
    <w:rsid w:val="00DA4183"/>
    <w:rsid w:val="00DA4565"/>
    <w:rsid w:val="00DA45E5"/>
    <w:rsid w:val="00DA46A2"/>
    <w:rsid w:val="00DA5931"/>
    <w:rsid w:val="00DA5B65"/>
    <w:rsid w:val="00DA5F44"/>
    <w:rsid w:val="00DA5FA1"/>
    <w:rsid w:val="00DA6D2A"/>
    <w:rsid w:val="00DA7FDE"/>
    <w:rsid w:val="00DB27E2"/>
    <w:rsid w:val="00DB2F71"/>
    <w:rsid w:val="00DB489A"/>
    <w:rsid w:val="00DB6BAF"/>
    <w:rsid w:val="00DB6D94"/>
    <w:rsid w:val="00DB6EFD"/>
    <w:rsid w:val="00DB7067"/>
    <w:rsid w:val="00DB7392"/>
    <w:rsid w:val="00DB7767"/>
    <w:rsid w:val="00DC03AF"/>
    <w:rsid w:val="00DC2FD1"/>
    <w:rsid w:val="00DC350D"/>
    <w:rsid w:val="00DC367D"/>
    <w:rsid w:val="00DC376B"/>
    <w:rsid w:val="00DC404A"/>
    <w:rsid w:val="00DC49DD"/>
    <w:rsid w:val="00DC6A4D"/>
    <w:rsid w:val="00DC7D6D"/>
    <w:rsid w:val="00DC7EFE"/>
    <w:rsid w:val="00DD01D4"/>
    <w:rsid w:val="00DD06DE"/>
    <w:rsid w:val="00DD0DF3"/>
    <w:rsid w:val="00DD18C5"/>
    <w:rsid w:val="00DD1E06"/>
    <w:rsid w:val="00DD1E5F"/>
    <w:rsid w:val="00DD3186"/>
    <w:rsid w:val="00DD344C"/>
    <w:rsid w:val="00DD3ADC"/>
    <w:rsid w:val="00DD3C88"/>
    <w:rsid w:val="00DD4D2D"/>
    <w:rsid w:val="00DD55EC"/>
    <w:rsid w:val="00DD573A"/>
    <w:rsid w:val="00DD586E"/>
    <w:rsid w:val="00DD68A3"/>
    <w:rsid w:val="00DD6A45"/>
    <w:rsid w:val="00DD7570"/>
    <w:rsid w:val="00DD768A"/>
    <w:rsid w:val="00DE2337"/>
    <w:rsid w:val="00DE59CD"/>
    <w:rsid w:val="00DE5F85"/>
    <w:rsid w:val="00DE6051"/>
    <w:rsid w:val="00DE648F"/>
    <w:rsid w:val="00DE64C2"/>
    <w:rsid w:val="00DE684B"/>
    <w:rsid w:val="00DE6D0F"/>
    <w:rsid w:val="00DE7429"/>
    <w:rsid w:val="00DF0266"/>
    <w:rsid w:val="00DF143B"/>
    <w:rsid w:val="00DF20EE"/>
    <w:rsid w:val="00DF3054"/>
    <w:rsid w:val="00DF50FA"/>
    <w:rsid w:val="00DF55A7"/>
    <w:rsid w:val="00DF6105"/>
    <w:rsid w:val="00DF6C7B"/>
    <w:rsid w:val="00DF705F"/>
    <w:rsid w:val="00DF74EC"/>
    <w:rsid w:val="00DF7793"/>
    <w:rsid w:val="00DF7A64"/>
    <w:rsid w:val="00E0033D"/>
    <w:rsid w:val="00E011E6"/>
    <w:rsid w:val="00E02FD7"/>
    <w:rsid w:val="00E03485"/>
    <w:rsid w:val="00E04420"/>
    <w:rsid w:val="00E053A9"/>
    <w:rsid w:val="00E05BCA"/>
    <w:rsid w:val="00E06D81"/>
    <w:rsid w:val="00E06F09"/>
    <w:rsid w:val="00E06F79"/>
    <w:rsid w:val="00E071A6"/>
    <w:rsid w:val="00E124B7"/>
    <w:rsid w:val="00E13917"/>
    <w:rsid w:val="00E13D98"/>
    <w:rsid w:val="00E1414C"/>
    <w:rsid w:val="00E14E2F"/>
    <w:rsid w:val="00E1598B"/>
    <w:rsid w:val="00E15C45"/>
    <w:rsid w:val="00E16247"/>
    <w:rsid w:val="00E164A9"/>
    <w:rsid w:val="00E17F4D"/>
    <w:rsid w:val="00E20F3D"/>
    <w:rsid w:val="00E22B62"/>
    <w:rsid w:val="00E22CEE"/>
    <w:rsid w:val="00E22DEF"/>
    <w:rsid w:val="00E248B0"/>
    <w:rsid w:val="00E24F7D"/>
    <w:rsid w:val="00E251FC"/>
    <w:rsid w:val="00E25F04"/>
    <w:rsid w:val="00E30E87"/>
    <w:rsid w:val="00E31088"/>
    <w:rsid w:val="00E34528"/>
    <w:rsid w:val="00E3661D"/>
    <w:rsid w:val="00E400F7"/>
    <w:rsid w:val="00E40745"/>
    <w:rsid w:val="00E409C1"/>
    <w:rsid w:val="00E41EC2"/>
    <w:rsid w:val="00E423B3"/>
    <w:rsid w:val="00E4243D"/>
    <w:rsid w:val="00E42753"/>
    <w:rsid w:val="00E42A20"/>
    <w:rsid w:val="00E43E92"/>
    <w:rsid w:val="00E448CD"/>
    <w:rsid w:val="00E45751"/>
    <w:rsid w:val="00E45908"/>
    <w:rsid w:val="00E4722F"/>
    <w:rsid w:val="00E51462"/>
    <w:rsid w:val="00E52B56"/>
    <w:rsid w:val="00E533D4"/>
    <w:rsid w:val="00E55470"/>
    <w:rsid w:val="00E55BD6"/>
    <w:rsid w:val="00E60032"/>
    <w:rsid w:val="00E6051F"/>
    <w:rsid w:val="00E605D3"/>
    <w:rsid w:val="00E61634"/>
    <w:rsid w:val="00E6500F"/>
    <w:rsid w:val="00E651A1"/>
    <w:rsid w:val="00E651C4"/>
    <w:rsid w:val="00E6550A"/>
    <w:rsid w:val="00E66B9A"/>
    <w:rsid w:val="00E66C74"/>
    <w:rsid w:val="00E67492"/>
    <w:rsid w:val="00E67DED"/>
    <w:rsid w:val="00E70685"/>
    <w:rsid w:val="00E70D3D"/>
    <w:rsid w:val="00E7230A"/>
    <w:rsid w:val="00E72A64"/>
    <w:rsid w:val="00E72B61"/>
    <w:rsid w:val="00E72FB6"/>
    <w:rsid w:val="00E74B94"/>
    <w:rsid w:val="00E7616C"/>
    <w:rsid w:val="00E763F4"/>
    <w:rsid w:val="00E76C46"/>
    <w:rsid w:val="00E76E4D"/>
    <w:rsid w:val="00E77E9B"/>
    <w:rsid w:val="00E803AB"/>
    <w:rsid w:val="00E80E57"/>
    <w:rsid w:val="00E81CC2"/>
    <w:rsid w:val="00E820DC"/>
    <w:rsid w:val="00E83631"/>
    <w:rsid w:val="00E854B4"/>
    <w:rsid w:val="00E86477"/>
    <w:rsid w:val="00E86D19"/>
    <w:rsid w:val="00E904A8"/>
    <w:rsid w:val="00E90C0E"/>
    <w:rsid w:val="00E92B2C"/>
    <w:rsid w:val="00E93586"/>
    <w:rsid w:val="00E93D1B"/>
    <w:rsid w:val="00E957D7"/>
    <w:rsid w:val="00E96690"/>
    <w:rsid w:val="00E979E8"/>
    <w:rsid w:val="00E97BA5"/>
    <w:rsid w:val="00E97CB2"/>
    <w:rsid w:val="00E97F6C"/>
    <w:rsid w:val="00EA016B"/>
    <w:rsid w:val="00EA0A82"/>
    <w:rsid w:val="00EA0E21"/>
    <w:rsid w:val="00EA254E"/>
    <w:rsid w:val="00EA470B"/>
    <w:rsid w:val="00EA4765"/>
    <w:rsid w:val="00EA5128"/>
    <w:rsid w:val="00EA7212"/>
    <w:rsid w:val="00EA732B"/>
    <w:rsid w:val="00EB034B"/>
    <w:rsid w:val="00EB0410"/>
    <w:rsid w:val="00EB0481"/>
    <w:rsid w:val="00EB0C28"/>
    <w:rsid w:val="00EB0FD9"/>
    <w:rsid w:val="00EB155B"/>
    <w:rsid w:val="00EB21EB"/>
    <w:rsid w:val="00EB2FC2"/>
    <w:rsid w:val="00EB44C7"/>
    <w:rsid w:val="00EB4718"/>
    <w:rsid w:val="00EB481D"/>
    <w:rsid w:val="00EB512F"/>
    <w:rsid w:val="00EB5488"/>
    <w:rsid w:val="00EB65A3"/>
    <w:rsid w:val="00EB6AE3"/>
    <w:rsid w:val="00EB7CA2"/>
    <w:rsid w:val="00EC0721"/>
    <w:rsid w:val="00EC0AD5"/>
    <w:rsid w:val="00EC3087"/>
    <w:rsid w:val="00EC4112"/>
    <w:rsid w:val="00EC4F9D"/>
    <w:rsid w:val="00EC5239"/>
    <w:rsid w:val="00EC6467"/>
    <w:rsid w:val="00EC7A55"/>
    <w:rsid w:val="00ED277C"/>
    <w:rsid w:val="00ED37D0"/>
    <w:rsid w:val="00ED3CFF"/>
    <w:rsid w:val="00ED4558"/>
    <w:rsid w:val="00ED4934"/>
    <w:rsid w:val="00ED53BE"/>
    <w:rsid w:val="00ED6FAA"/>
    <w:rsid w:val="00ED708D"/>
    <w:rsid w:val="00EE0037"/>
    <w:rsid w:val="00EE0362"/>
    <w:rsid w:val="00EE0CB0"/>
    <w:rsid w:val="00EE0EF5"/>
    <w:rsid w:val="00EE124E"/>
    <w:rsid w:val="00EE15BD"/>
    <w:rsid w:val="00EE1B51"/>
    <w:rsid w:val="00EE2057"/>
    <w:rsid w:val="00EE3546"/>
    <w:rsid w:val="00EE3F33"/>
    <w:rsid w:val="00EE4A42"/>
    <w:rsid w:val="00EE6039"/>
    <w:rsid w:val="00EE619B"/>
    <w:rsid w:val="00EE6C6E"/>
    <w:rsid w:val="00EE6D3C"/>
    <w:rsid w:val="00EE6F94"/>
    <w:rsid w:val="00EE79BF"/>
    <w:rsid w:val="00EF073F"/>
    <w:rsid w:val="00EF129F"/>
    <w:rsid w:val="00EF18B0"/>
    <w:rsid w:val="00EF18C8"/>
    <w:rsid w:val="00EF333F"/>
    <w:rsid w:val="00EF4608"/>
    <w:rsid w:val="00EF6015"/>
    <w:rsid w:val="00EF631D"/>
    <w:rsid w:val="00EF6C47"/>
    <w:rsid w:val="00EF7941"/>
    <w:rsid w:val="00EF7BAC"/>
    <w:rsid w:val="00F00F16"/>
    <w:rsid w:val="00F010F5"/>
    <w:rsid w:val="00F011F8"/>
    <w:rsid w:val="00F01461"/>
    <w:rsid w:val="00F01FBD"/>
    <w:rsid w:val="00F02A7E"/>
    <w:rsid w:val="00F04132"/>
    <w:rsid w:val="00F04471"/>
    <w:rsid w:val="00F05022"/>
    <w:rsid w:val="00F05534"/>
    <w:rsid w:val="00F06525"/>
    <w:rsid w:val="00F068BE"/>
    <w:rsid w:val="00F07243"/>
    <w:rsid w:val="00F07853"/>
    <w:rsid w:val="00F078B8"/>
    <w:rsid w:val="00F125EA"/>
    <w:rsid w:val="00F128E1"/>
    <w:rsid w:val="00F12E4F"/>
    <w:rsid w:val="00F137CC"/>
    <w:rsid w:val="00F14173"/>
    <w:rsid w:val="00F142E2"/>
    <w:rsid w:val="00F14AFE"/>
    <w:rsid w:val="00F1574A"/>
    <w:rsid w:val="00F204DB"/>
    <w:rsid w:val="00F21551"/>
    <w:rsid w:val="00F23192"/>
    <w:rsid w:val="00F243EE"/>
    <w:rsid w:val="00F25301"/>
    <w:rsid w:val="00F25F09"/>
    <w:rsid w:val="00F25FDD"/>
    <w:rsid w:val="00F31CDB"/>
    <w:rsid w:val="00F32522"/>
    <w:rsid w:val="00F3360F"/>
    <w:rsid w:val="00F34935"/>
    <w:rsid w:val="00F35AC1"/>
    <w:rsid w:val="00F361FF"/>
    <w:rsid w:val="00F3689E"/>
    <w:rsid w:val="00F36F4F"/>
    <w:rsid w:val="00F371DB"/>
    <w:rsid w:val="00F37265"/>
    <w:rsid w:val="00F379F1"/>
    <w:rsid w:val="00F37B55"/>
    <w:rsid w:val="00F37C91"/>
    <w:rsid w:val="00F400AC"/>
    <w:rsid w:val="00F408C2"/>
    <w:rsid w:val="00F40CDB"/>
    <w:rsid w:val="00F40F2F"/>
    <w:rsid w:val="00F414A0"/>
    <w:rsid w:val="00F42512"/>
    <w:rsid w:val="00F429F7"/>
    <w:rsid w:val="00F43826"/>
    <w:rsid w:val="00F44FD7"/>
    <w:rsid w:val="00F44FF9"/>
    <w:rsid w:val="00F455BE"/>
    <w:rsid w:val="00F4627F"/>
    <w:rsid w:val="00F5103C"/>
    <w:rsid w:val="00F511BD"/>
    <w:rsid w:val="00F51334"/>
    <w:rsid w:val="00F51A6D"/>
    <w:rsid w:val="00F51B50"/>
    <w:rsid w:val="00F547B5"/>
    <w:rsid w:val="00F54BD4"/>
    <w:rsid w:val="00F55A89"/>
    <w:rsid w:val="00F57EEC"/>
    <w:rsid w:val="00F62054"/>
    <w:rsid w:val="00F6238F"/>
    <w:rsid w:val="00F62501"/>
    <w:rsid w:val="00F62859"/>
    <w:rsid w:val="00F637D1"/>
    <w:rsid w:val="00F63B66"/>
    <w:rsid w:val="00F63BD2"/>
    <w:rsid w:val="00F6413F"/>
    <w:rsid w:val="00F64289"/>
    <w:rsid w:val="00F6494E"/>
    <w:rsid w:val="00F64B2B"/>
    <w:rsid w:val="00F65BA6"/>
    <w:rsid w:val="00F70C46"/>
    <w:rsid w:val="00F7159B"/>
    <w:rsid w:val="00F7196F"/>
    <w:rsid w:val="00F72311"/>
    <w:rsid w:val="00F7289F"/>
    <w:rsid w:val="00F72C48"/>
    <w:rsid w:val="00F7377E"/>
    <w:rsid w:val="00F73A0C"/>
    <w:rsid w:val="00F73CAF"/>
    <w:rsid w:val="00F7465F"/>
    <w:rsid w:val="00F74AA6"/>
    <w:rsid w:val="00F75C91"/>
    <w:rsid w:val="00F761DF"/>
    <w:rsid w:val="00F76AFF"/>
    <w:rsid w:val="00F802BD"/>
    <w:rsid w:val="00F8032E"/>
    <w:rsid w:val="00F80A75"/>
    <w:rsid w:val="00F80B35"/>
    <w:rsid w:val="00F831BC"/>
    <w:rsid w:val="00F849E9"/>
    <w:rsid w:val="00F84E50"/>
    <w:rsid w:val="00F85BC6"/>
    <w:rsid w:val="00F874A1"/>
    <w:rsid w:val="00F8753E"/>
    <w:rsid w:val="00F87655"/>
    <w:rsid w:val="00F911DD"/>
    <w:rsid w:val="00F91457"/>
    <w:rsid w:val="00F91E5F"/>
    <w:rsid w:val="00F921E5"/>
    <w:rsid w:val="00F9279C"/>
    <w:rsid w:val="00F939CA"/>
    <w:rsid w:val="00F941C0"/>
    <w:rsid w:val="00F94B6F"/>
    <w:rsid w:val="00F958E7"/>
    <w:rsid w:val="00F97FA7"/>
    <w:rsid w:val="00FA1E53"/>
    <w:rsid w:val="00FA2953"/>
    <w:rsid w:val="00FA3189"/>
    <w:rsid w:val="00FA3F31"/>
    <w:rsid w:val="00FA516E"/>
    <w:rsid w:val="00FA5170"/>
    <w:rsid w:val="00FA6AC1"/>
    <w:rsid w:val="00FA7C3A"/>
    <w:rsid w:val="00FB1393"/>
    <w:rsid w:val="00FB2C6D"/>
    <w:rsid w:val="00FB3C9F"/>
    <w:rsid w:val="00FB3F75"/>
    <w:rsid w:val="00FB5265"/>
    <w:rsid w:val="00FB620A"/>
    <w:rsid w:val="00FB749D"/>
    <w:rsid w:val="00FB75F2"/>
    <w:rsid w:val="00FC21B3"/>
    <w:rsid w:val="00FC2611"/>
    <w:rsid w:val="00FC2DAC"/>
    <w:rsid w:val="00FC33B3"/>
    <w:rsid w:val="00FC597E"/>
    <w:rsid w:val="00FC6C09"/>
    <w:rsid w:val="00FC6F2A"/>
    <w:rsid w:val="00FC6FE6"/>
    <w:rsid w:val="00FC7429"/>
    <w:rsid w:val="00FD0D8E"/>
    <w:rsid w:val="00FD25AA"/>
    <w:rsid w:val="00FD295D"/>
    <w:rsid w:val="00FD2ACB"/>
    <w:rsid w:val="00FD2EC1"/>
    <w:rsid w:val="00FD3398"/>
    <w:rsid w:val="00FD530A"/>
    <w:rsid w:val="00FD64B1"/>
    <w:rsid w:val="00FD6E71"/>
    <w:rsid w:val="00FD6F05"/>
    <w:rsid w:val="00FD7870"/>
    <w:rsid w:val="00FE0160"/>
    <w:rsid w:val="00FE1EEC"/>
    <w:rsid w:val="00FE2549"/>
    <w:rsid w:val="00FE2A77"/>
    <w:rsid w:val="00FE37F8"/>
    <w:rsid w:val="00FE455D"/>
    <w:rsid w:val="00FE4685"/>
    <w:rsid w:val="00FE6680"/>
    <w:rsid w:val="00FE7DB5"/>
    <w:rsid w:val="00FF2A67"/>
    <w:rsid w:val="00FF2EAB"/>
    <w:rsid w:val="00FF2F79"/>
    <w:rsid w:val="00FF3D5E"/>
    <w:rsid w:val="00FF438D"/>
    <w:rsid w:val="00FF47F6"/>
    <w:rsid w:val="00FF52FD"/>
    <w:rsid w:val="00FF6A4A"/>
    <w:rsid w:val="00FF7540"/>
    <w:rsid w:val="00FF7CEB"/>
    <w:rsid w:val="012D2227"/>
    <w:rsid w:val="014577FB"/>
    <w:rsid w:val="01B33B78"/>
    <w:rsid w:val="01E858D7"/>
    <w:rsid w:val="01F77716"/>
    <w:rsid w:val="0266046F"/>
    <w:rsid w:val="02F90F5A"/>
    <w:rsid w:val="03923013"/>
    <w:rsid w:val="03BA01AE"/>
    <w:rsid w:val="04293673"/>
    <w:rsid w:val="04DE2A93"/>
    <w:rsid w:val="05796E8A"/>
    <w:rsid w:val="05BB7639"/>
    <w:rsid w:val="05E277B3"/>
    <w:rsid w:val="064C69E3"/>
    <w:rsid w:val="06672680"/>
    <w:rsid w:val="07C30A34"/>
    <w:rsid w:val="09FF2C83"/>
    <w:rsid w:val="0ABD0FDB"/>
    <w:rsid w:val="0B2B6D75"/>
    <w:rsid w:val="0B6F122F"/>
    <w:rsid w:val="0B7A05C0"/>
    <w:rsid w:val="0B8C5559"/>
    <w:rsid w:val="0C0D2288"/>
    <w:rsid w:val="0D0127B9"/>
    <w:rsid w:val="0DA72998"/>
    <w:rsid w:val="0DBE1137"/>
    <w:rsid w:val="0E0C1159"/>
    <w:rsid w:val="0E336BC0"/>
    <w:rsid w:val="0E4751E4"/>
    <w:rsid w:val="0E660F2F"/>
    <w:rsid w:val="10520AF3"/>
    <w:rsid w:val="1168050B"/>
    <w:rsid w:val="11821BFB"/>
    <w:rsid w:val="11A828DC"/>
    <w:rsid w:val="12400566"/>
    <w:rsid w:val="12B6666C"/>
    <w:rsid w:val="131479A7"/>
    <w:rsid w:val="146751F2"/>
    <w:rsid w:val="149C3B43"/>
    <w:rsid w:val="14AA4584"/>
    <w:rsid w:val="14E83B48"/>
    <w:rsid w:val="14F65F34"/>
    <w:rsid w:val="14FC7645"/>
    <w:rsid w:val="156E3984"/>
    <w:rsid w:val="16636AEA"/>
    <w:rsid w:val="16B3468F"/>
    <w:rsid w:val="1772400D"/>
    <w:rsid w:val="18011957"/>
    <w:rsid w:val="188D393C"/>
    <w:rsid w:val="18D854DD"/>
    <w:rsid w:val="193C6818"/>
    <w:rsid w:val="19490030"/>
    <w:rsid w:val="194D0C0F"/>
    <w:rsid w:val="19AE021A"/>
    <w:rsid w:val="19F0506B"/>
    <w:rsid w:val="1A2D5FC9"/>
    <w:rsid w:val="1A8E484D"/>
    <w:rsid w:val="1AAF2DD5"/>
    <w:rsid w:val="1AB92773"/>
    <w:rsid w:val="1ADE65BF"/>
    <w:rsid w:val="1AEA2B54"/>
    <w:rsid w:val="1BE069CA"/>
    <w:rsid w:val="1BE51D3D"/>
    <w:rsid w:val="1C5C23FA"/>
    <w:rsid w:val="1C6B2ED5"/>
    <w:rsid w:val="1D483D6C"/>
    <w:rsid w:val="1D9D4967"/>
    <w:rsid w:val="1E06775F"/>
    <w:rsid w:val="1E1A2B9E"/>
    <w:rsid w:val="1EAE773E"/>
    <w:rsid w:val="1F2F70B6"/>
    <w:rsid w:val="20132574"/>
    <w:rsid w:val="201C1F42"/>
    <w:rsid w:val="2053069F"/>
    <w:rsid w:val="2092236A"/>
    <w:rsid w:val="21064750"/>
    <w:rsid w:val="214449D8"/>
    <w:rsid w:val="214B412D"/>
    <w:rsid w:val="21754AC8"/>
    <w:rsid w:val="21883C1A"/>
    <w:rsid w:val="21891D26"/>
    <w:rsid w:val="22465253"/>
    <w:rsid w:val="22492E07"/>
    <w:rsid w:val="22570E06"/>
    <w:rsid w:val="22DB574D"/>
    <w:rsid w:val="23134F76"/>
    <w:rsid w:val="232B298C"/>
    <w:rsid w:val="2348022F"/>
    <w:rsid w:val="23ED0BBD"/>
    <w:rsid w:val="23ED6662"/>
    <w:rsid w:val="244D735A"/>
    <w:rsid w:val="24613E12"/>
    <w:rsid w:val="24CE37EF"/>
    <w:rsid w:val="25585952"/>
    <w:rsid w:val="25862F9E"/>
    <w:rsid w:val="25DC6311"/>
    <w:rsid w:val="262D2151"/>
    <w:rsid w:val="26456D44"/>
    <w:rsid w:val="273A4616"/>
    <w:rsid w:val="279A3D43"/>
    <w:rsid w:val="27CF43F9"/>
    <w:rsid w:val="27D547E6"/>
    <w:rsid w:val="28975550"/>
    <w:rsid w:val="28A552A2"/>
    <w:rsid w:val="28DE3FA1"/>
    <w:rsid w:val="290171E0"/>
    <w:rsid w:val="291D29FD"/>
    <w:rsid w:val="29255080"/>
    <w:rsid w:val="293C4952"/>
    <w:rsid w:val="29543EE6"/>
    <w:rsid w:val="29F340D6"/>
    <w:rsid w:val="29FC04AA"/>
    <w:rsid w:val="2A7F2D51"/>
    <w:rsid w:val="2AC45F71"/>
    <w:rsid w:val="2ADD6E3B"/>
    <w:rsid w:val="2B970DE2"/>
    <w:rsid w:val="2BE01351"/>
    <w:rsid w:val="2C230591"/>
    <w:rsid w:val="2CEE7C33"/>
    <w:rsid w:val="2D1760D1"/>
    <w:rsid w:val="2D60377E"/>
    <w:rsid w:val="2F2F55AF"/>
    <w:rsid w:val="2FDB05FE"/>
    <w:rsid w:val="3028367F"/>
    <w:rsid w:val="305C6376"/>
    <w:rsid w:val="30781792"/>
    <w:rsid w:val="31094433"/>
    <w:rsid w:val="31295F0A"/>
    <w:rsid w:val="316F1AE2"/>
    <w:rsid w:val="31A07934"/>
    <w:rsid w:val="320F32A8"/>
    <w:rsid w:val="32540558"/>
    <w:rsid w:val="32990AEA"/>
    <w:rsid w:val="33B73314"/>
    <w:rsid w:val="3423299B"/>
    <w:rsid w:val="34722342"/>
    <w:rsid w:val="34883B2D"/>
    <w:rsid w:val="34BF71C9"/>
    <w:rsid w:val="34D46A5F"/>
    <w:rsid w:val="353C5870"/>
    <w:rsid w:val="35CB5D07"/>
    <w:rsid w:val="360062A6"/>
    <w:rsid w:val="36381AE4"/>
    <w:rsid w:val="36625046"/>
    <w:rsid w:val="36625734"/>
    <w:rsid w:val="36A05D9B"/>
    <w:rsid w:val="36B9227A"/>
    <w:rsid w:val="37084D94"/>
    <w:rsid w:val="3738670B"/>
    <w:rsid w:val="373C1AF1"/>
    <w:rsid w:val="37B5462B"/>
    <w:rsid w:val="37C03243"/>
    <w:rsid w:val="3846469B"/>
    <w:rsid w:val="39322211"/>
    <w:rsid w:val="39ED2098"/>
    <w:rsid w:val="3A160959"/>
    <w:rsid w:val="3A3E2945"/>
    <w:rsid w:val="3AB47B7B"/>
    <w:rsid w:val="3AC16074"/>
    <w:rsid w:val="3AC369AA"/>
    <w:rsid w:val="3ACA44F2"/>
    <w:rsid w:val="3C7F4E58"/>
    <w:rsid w:val="3CDD7824"/>
    <w:rsid w:val="3D3A08B8"/>
    <w:rsid w:val="3D40177E"/>
    <w:rsid w:val="3D74012D"/>
    <w:rsid w:val="3D8E24FD"/>
    <w:rsid w:val="3E174AFA"/>
    <w:rsid w:val="3E94614A"/>
    <w:rsid w:val="3FA43E3E"/>
    <w:rsid w:val="404A1120"/>
    <w:rsid w:val="408A0392"/>
    <w:rsid w:val="40972D8B"/>
    <w:rsid w:val="416B3DF0"/>
    <w:rsid w:val="4216717B"/>
    <w:rsid w:val="42E21BA8"/>
    <w:rsid w:val="4575222D"/>
    <w:rsid w:val="45DD741D"/>
    <w:rsid w:val="46113122"/>
    <w:rsid w:val="4690065C"/>
    <w:rsid w:val="475F23A8"/>
    <w:rsid w:val="47EF4992"/>
    <w:rsid w:val="4816676B"/>
    <w:rsid w:val="481C4BCD"/>
    <w:rsid w:val="487E1586"/>
    <w:rsid w:val="492F50CD"/>
    <w:rsid w:val="4A0E1922"/>
    <w:rsid w:val="4A6C2B28"/>
    <w:rsid w:val="4AC20CD4"/>
    <w:rsid w:val="4B4E6867"/>
    <w:rsid w:val="4C266B81"/>
    <w:rsid w:val="4C366B4D"/>
    <w:rsid w:val="4C9A16BF"/>
    <w:rsid w:val="4CFC3257"/>
    <w:rsid w:val="4DAA0C26"/>
    <w:rsid w:val="4DBF22C1"/>
    <w:rsid w:val="4DE04C77"/>
    <w:rsid w:val="4E4E0D9E"/>
    <w:rsid w:val="4F5D074A"/>
    <w:rsid w:val="4FDD0F46"/>
    <w:rsid w:val="50115421"/>
    <w:rsid w:val="50642F65"/>
    <w:rsid w:val="50D06E78"/>
    <w:rsid w:val="50E63BB9"/>
    <w:rsid w:val="52086A9E"/>
    <w:rsid w:val="528F4A01"/>
    <w:rsid w:val="53B63001"/>
    <w:rsid w:val="549E30EA"/>
    <w:rsid w:val="54C5326A"/>
    <w:rsid w:val="554E3280"/>
    <w:rsid w:val="55504AF1"/>
    <w:rsid w:val="55B765E2"/>
    <w:rsid w:val="562F75CC"/>
    <w:rsid w:val="56384502"/>
    <w:rsid w:val="56460F7F"/>
    <w:rsid w:val="565B76D3"/>
    <w:rsid w:val="569D3782"/>
    <w:rsid w:val="56BF2710"/>
    <w:rsid w:val="570163E4"/>
    <w:rsid w:val="57DC4BB3"/>
    <w:rsid w:val="57ED7A0A"/>
    <w:rsid w:val="58661996"/>
    <w:rsid w:val="591F211E"/>
    <w:rsid w:val="599426DE"/>
    <w:rsid w:val="59B52780"/>
    <w:rsid w:val="59EF498F"/>
    <w:rsid w:val="5A00243E"/>
    <w:rsid w:val="5A1D57B8"/>
    <w:rsid w:val="5B7C11E4"/>
    <w:rsid w:val="5B8A7FC1"/>
    <w:rsid w:val="5BBB4B93"/>
    <w:rsid w:val="5BD0485F"/>
    <w:rsid w:val="5CA62B50"/>
    <w:rsid w:val="5D0732B7"/>
    <w:rsid w:val="5D7E2B4E"/>
    <w:rsid w:val="5D9F112C"/>
    <w:rsid w:val="5DEF0674"/>
    <w:rsid w:val="5E5D7682"/>
    <w:rsid w:val="5EAA008E"/>
    <w:rsid w:val="5EE5237E"/>
    <w:rsid w:val="5EFC75E3"/>
    <w:rsid w:val="5F1A0666"/>
    <w:rsid w:val="5FB81535"/>
    <w:rsid w:val="60366AE9"/>
    <w:rsid w:val="60FB24B0"/>
    <w:rsid w:val="617901C5"/>
    <w:rsid w:val="628F5B29"/>
    <w:rsid w:val="62930A7E"/>
    <w:rsid w:val="62AD7BB6"/>
    <w:rsid w:val="63F24112"/>
    <w:rsid w:val="63FD00F7"/>
    <w:rsid w:val="6409731F"/>
    <w:rsid w:val="642679DB"/>
    <w:rsid w:val="643B6285"/>
    <w:rsid w:val="64A66831"/>
    <w:rsid w:val="64BC0358"/>
    <w:rsid w:val="654F4DE7"/>
    <w:rsid w:val="65982A5C"/>
    <w:rsid w:val="659C0E37"/>
    <w:rsid w:val="65D15CB2"/>
    <w:rsid w:val="66034605"/>
    <w:rsid w:val="662A19E5"/>
    <w:rsid w:val="66AA0B32"/>
    <w:rsid w:val="670F560C"/>
    <w:rsid w:val="671565F3"/>
    <w:rsid w:val="677D1EC4"/>
    <w:rsid w:val="680471B7"/>
    <w:rsid w:val="68110D2E"/>
    <w:rsid w:val="68263029"/>
    <w:rsid w:val="68511835"/>
    <w:rsid w:val="68990F5B"/>
    <w:rsid w:val="690A31E2"/>
    <w:rsid w:val="6926630B"/>
    <w:rsid w:val="69816003"/>
    <w:rsid w:val="69A91168"/>
    <w:rsid w:val="69C12474"/>
    <w:rsid w:val="6A7530FA"/>
    <w:rsid w:val="6AE04552"/>
    <w:rsid w:val="6AFB0793"/>
    <w:rsid w:val="6B71472E"/>
    <w:rsid w:val="6B7D2315"/>
    <w:rsid w:val="6B9768D7"/>
    <w:rsid w:val="6BDC1943"/>
    <w:rsid w:val="6CFB738A"/>
    <w:rsid w:val="6D883C2D"/>
    <w:rsid w:val="6D986CD5"/>
    <w:rsid w:val="6DAD4E66"/>
    <w:rsid w:val="6DB700A5"/>
    <w:rsid w:val="6E1F403A"/>
    <w:rsid w:val="6EA03C18"/>
    <w:rsid w:val="6EB105AA"/>
    <w:rsid w:val="6FF21B75"/>
    <w:rsid w:val="71BB3A25"/>
    <w:rsid w:val="71DF15AA"/>
    <w:rsid w:val="72660968"/>
    <w:rsid w:val="730C53B1"/>
    <w:rsid w:val="733E5BE9"/>
    <w:rsid w:val="734406E4"/>
    <w:rsid w:val="74192DFC"/>
    <w:rsid w:val="749E6FB0"/>
    <w:rsid w:val="756618C9"/>
    <w:rsid w:val="75B70CE5"/>
    <w:rsid w:val="7612730F"/>
    <w:rsid w:val="76B178AE"/>
    <w:rsid w:val="77531F20"/>
    <w:rsid w:val="779D1ECC"/>
    <w:rsid w:val="77F03ED5"/>
    <w:rsid w:val="78055B4A"/>
    <w:rsid w:val="78311266"/>
    <w:rsid w:val="789A4BCF"/>
    <w:rsid w:val="78A25EF7"/>
    <w:rsid w:val="7A271559"/>
    <w:rsid w:val="7A2D6D03"/>
    <w:rsid w:val="7A3A1BE4"/>
    <w:rsid w:val="7AE14228"/>
    <w:rsid w:val="7B976652"/>
    <w:rsid w:val="7C2B4108"/>
    <w:rsid w:val="7C356C0C"/>
    <w:rsid w:val="7C7F10F4"/>
    <w:rsid w:val="7CAF0AFD"/>
    <w:rsid w:val="7DED348B"/>
    <w:rsid w:val="7EC73DC5"/>
    <w:rsid w:val="7ECE701C"/>
    <w:rsid w:val="7ED61B3C"/>
    <w:rsid w:val="7F4E0081"/>
    <w:rsid w:val="7FDA1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AutoShape 2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styleId="2">
    <w:name w:val="heading 1"/>
    <w:basedOn w:val="1"/>
    <w:next w:val="1"/>
    <w:link w:val="40"/>
    <w:qFormat/>
    <w:uiPriority w:val="0"/>
    <w:pPr>
      <w:keepNext/>
      <w:keepLines/>
      <w:numPr>
        <w:ilvl w:val="0"/>
        <w:numId w:val="1"/>
      </w:numPr>
      <w:adjustRightInd/>
      <w:spacing w:beforeLines="50" w:afterLines="50"/>
      <w:jc w:val="both"/>
      <w:textAlignment w:val="auto"/>
      <w:outlineLvl w:val="0"/>
    </w:pPr>
    <w:rPr>
      <w:rFonts w:ascii="黑体" w:hAnsi="黑体" w:eastAsia="黑体"/>
      <w:bCs/>
      <w:kern w:val="44"/>
      <w:szCs w:val="21"/>
    </w:rPr>
  </w:style>
  <w:style w:type="paragraph" w:styleId="3">
    <w:name w:val="heading 2"/>
    <w:basedOn w:val="1"/>
    <w:next w:val="1"/>
    <w:link w:val="41"/>
    <w:qFormat/>
    <w:uiPriority w:val="0"/>
    <w:pPr>
      <w:keepNext/>
      <w:keepLines/>
      <w:numPr>
        <w:ilvl w:val="1"/>
        <w:numId w:val="1"/>
      </w:numPr>
      <w:spacing w:line="360" w:lineRule="exact"/>
      <w:outlineLvl w:val="1"/>
    </w:pPr>
    <w:rPr>
      <w:rFonts w:ascii="黑体" w:hAnsi="黑体" w:eastAsia="黑体"/>
      <w:bCs/>
      <w:szCs w:val="21"/>
    </w:rPr>
  </w:style>
  <w:style w:type="paragraph" w:styleId="4">
    <w:name w:val="heading 3"/>
    <w:basedOn w:val="1"/>
    <w:next w:val="1"/>
    <w:link w:val="42"/>
    <w:qFormat/>
    <w:uiPriority w:val="0"/>
    <w:pPr>
      <w:keepNext/>
      <w:keepLines/>
      <w:numPr>
        <w:ilvl w:val="2"/>
        <w:numId w:val="1"/>
      </w:numPr>
      <w:spacing w:line="360" w:lineRule="exact"/>
      <w:outlineLvl w:val="2"/>
    </w:pPr>
    <w:rPr>
      <w:rFonts w:ascii="宋体" w:hAnsi="宋体"/>
      <w:bCs/>
      <w:szCs w:val="21"/>
    </w:rPr>
  </w:style>
  <w:style w:type="paragraph" w:styleId="5">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4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adjustRightInd/>
      <w:spacing w:before="240" w:after="64" w:line="320" w:lineRule="auto"/>
      <w:jc w:val="both"/>
      <w:textAlignment w:val="auto"/>
      <w:outlineLvl w:val="5"/>
    </w:pPr>
    <w:rPr>
      <w:rFonts w:ascii="Arial" w:hAnsi="Arial" w:eastAsia="黑体"/>
      <w:b/>
      <w:bCs/>
      <w:kern w:val="2"/>
      <w:sz w:val="24"/>
      <w:szCs w:val="24"/>
    </w:rPr>
  </w:style>
  <w:style w:type="paragraph" w:styleId="8">
    <w:name w:val="heading 7"/>
    <w:basedOn w:val="1"/>
    <w:next w:val="1"/>
    <w:link w:val="44"/>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45"/>
    <w:qFormat/>
    <w:uiPriority w:val="0"/>
    <w:pPr>
      <w:keepNext/>
      <w:keepLines/>
      <w:numPr>
        <w:ilvl w:val="7"/>
        <w:numId w:val="1"/>
      </w:numPr>
      <w:spacing w:before="240" w:after="64" w:line="320" w:lineRule="auto"/>
      <w:outlineLvl w:val="7"/>
    </w:pPr>
    <w:rPr>
      <w:rFonts w:ascii="等线 Light" w:hAnsi="等线 Light" w:eastAsia="等线 Light"/>
      <w:sz w:val="24"/>
      <w:szCs w:val="24"/>
    </w:rPr>
  </w:style>
  <w:style w:type="paragraph" w:styleId="10">
    <w:name w:val="heading 9"/>
    <w:basedOn w:val="1"/>
    <w:next w:val="1"/>
    <w:link w:val="46"/>
    <w:qFormat/>
    <w:uiPriority w:val="0"/>
    <w:pPr>
      <w:keepNext/>
      <w:keepLines/>
      <w:numPr>
        <w:ilvl w:val="8"/>
        <w:numId w:val="1"/>
      </w:numPr>
      <w:spacing w:before="240" w:after="64" w:line="320" w:lineRule="auto"/>
      <w:outlineLvl w:val="8"/>
    </w:pPr>
    <w:rPr>
      <w:rFonts w:ascii="等线 Light" w:hAnsi="等线 Light" w:eastAsia="等线 Light"/>
      <w:szCs w:val="21"/>
    </w:rPr>
  </w:style>
  <w:style w:type="character" w:default="1" w:styleId="36">
    <w:name w:val="Default Paragraph Font"/>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ind w:left="2520" w:leftChars="1200"/>
      <w:jc w:val="both"/>
      <w:textAlignment w:val="auto"/>
    </w:pPr>
    <w:rPr>
      <w:rFonts w:ascii="等线" w:hAnsi="等线" w:eastAsia="等线"/>
      <w:kern w:val="2"/>
      <w:szCs w:val="22"/>
    </w:rPr>
  </w:style>
  <w:style w:type="paragraph" w:styleId="12">
    <w:name w:val="caption"/>
    <w:basedOn w:val="1"/>
    <w:next w:val="1"/>
    <w:qFormat/>
    <w:uiPriority w:val="0"/>
    <w:pPr>
      <w:spacing w:before="152" w:after="160"/>
    </w:pPr>
    <w:rPr>
      <w:rFonts w:ascii="Arial" w:hAnsi="Arial" w:eastAsia="黑体" w:cs="Arial"/>
      <w:sz w:val="20"/>
    </w:rPr>
  </w:style>
  <w:style w:type="paragraph" w:styleId="13">
    <w:name w:val="Document Map"/>
    <w:basedOn w:val="1"/>
    <w:semiHidden/>
    <w:qFormat/>
    <w:uiPriority w:val="0"/>
    <w:pPr>
      <w:shd w:val="clear" w:color="auto" w:fill="000080"/>
    </w:pPr>
  </w:style>
  <w:style w:type="paragraph" w:styleId="14">
    <w:name w:val="annotation text"/>
    <w:basedOn w:val="1"/>
    <w:semiHidden/>
    <w:qFormat/>
    <w:uiPriority w:val="0"/>
  </w:style>
  <w:style w:type="paragraph" w:styleId="15">
    <w:name w:val="Body Text"/>
    <w:basedOn w:val="1"/>
    <w:next w:val="16"/>
    <w:link w:val="102"/>
    <w:unhideWhenUsed/>
    <w:qFormat/>
    <w:uiPriority w:val="99"/>
    <w:pPr>
      <w:spacing w:after="120"/>
    </w:pPr>
  </w:style>
  <w:style w:type="paragraph" w:styleId="16">
    <w:name w:val="Title"/>
    <w:basedOn w:val="1"/>
    <w:next w:val="1"/>
    <w:qFormat/>
    <w:uiPriority w:val="0"/>
    <w:pPr>
      <w:spacing w:before="240" w:after="60"/>
      <w:jc w:val="center"/>
      <w:outlineLvl w:val="0"/>
    </w:pPr>
    <w:rPr>
      <w:rFonts w:ascii="Arial" w:hAnsi="Arial" w:cs="Arial"/>
      <w:b/>
      <w:bCs/>
      <w:sz w:val="32"/>
      <w:szCs w:val="32"/>
    </w:rPr>
  </w:style>
  <w:style w:type="paragraph" w:styleId="17">
    <w:name w:val="Body Text Indent"/>
    <w:basedOn w:val="1"/>
    <w:qFormat/>
    <w:uiPriority w:val="0"/>
    <w:pPr>
      <w:spacing w:line="360" w:lineRule="exact"/>
      <w:ind w:firstLine="420" w:firstLineChars="200"/>
      <w:jc w:val="both"/>
    </w:pPr>
    <w:rPr>
      <w:rFonts w:ascii="宋体"/>
    </w:rPr>
  </w:style>
  <w:style w:type="paragraph" w:styleId="18">
    <w:name w:val="toc 5"/>
    <w:basedOn w:val="1"/>
    <w:next w:val="1"/>
    <w:unhideWhenUsed/>
    <w:qFormat/>
    <w:uiPriority w:val="39"/>
    <w:pPr>
      <w:adjustRightInd/>
      <w:ind w:left="1680" w:leftChars="800"/>
      <w:jc w:val="both"/>
      <w:textAlignment w:val="auto"/>
    </w:pPr>
    <w:rPr>
      <w:rFonts w:ascii="等线" w:hAnsi="等线" w:eastAsia="等线"/>
      <w:kern w:val="2"/>
      <w:szCs w:val="22"/>
    </w:rPr>
  </w:style>
  <w:style w:type="paragraph" w:styleId="19">
    <w:name w:val="toc 3"/>
    <w:basedOn w:val="1"/>
    <w:next w:val="1"/>
    <w:qFormat/>
    <w:uiPriority w:val="39"/>
    <w:pPr>
      <w:ind w:left="840" w:leftChars="400"/>
    </w:pPr>
  </w:style>
  <w:style w:type="paragraph" w:styleId="20">
    <w:name w:val="Plain Text"/>
    <w:basedOn w:val="1"/>
    <w:qFormat/>
    <w:uiPriority w:val="0"/>
    <w:pPr>
      <w:adjustRightInd/>
      <w:jc w:val="both"/>
      <w:textAlignment w:val="auto"/>
    </w:pPr>
    <w:rPr>
      <w:rFonts w:ascii="宋体" w:hAnsi="Courier New"/>
      <w:kern w:val="2"/>
    </w:rPr>
  </w:style>
  <w:style w:type="paragraph" w:styleId="21">
    <w:name w:val="toc 8"/>
    <w:basedOn w:val="1"/>
    <w:next w:val="1"/>
    <w:unhideWhenUsed/>
    <w:qFormat/>
    <w:uiPriority w:val="39"/>
    <w:pPr>
      <w:adjustRightInd/>
      <w:ind w:left="2940" w:leftChars="1400"/>
      <w:jc w:val="both"/>
      <w:textAlignment w:val="auto"/>
    </w:pPr>
    <w:rPr>
      <w:rFonts w:ascii="等线" w:hAnsi="等线" w:eastAsia="等线"/>
      <w:kern w:val="2"/>
      <w:szCs w:val="22"/>
    </w:rPr>
  </w:style>
  <w:style w:type="paragraph" w:styleId="22">
    <w:name w:val="Date"/>
    <w:basedOn w:val="1"/>
    <w:next w:val="1"/>
    <w:qFormat/>
    <w:uiPriority w:val="0"/>
    <w:pPr>
      <w:ind w:left="100" w:leftChars="2500"/>
    </w:pPr>
  </w:style>
  <w:style w:type="paragraph" w:styleId="23">
    <w:name w:val="Balloon Text"/>
    <w:basedOn w:val="1"/>
    <w:semiHidden/>
    <w:qFormat/>
    <w:uiPriority w:val="0"/>
    <w:rPr>
      <w:sz w:val="18"/>
      <w:szCs w:val="18"/>
    </w:rPr>
  </w:style>
  <w:style w:type="paragraph" w:styleId="24">
    <w:name w:val="footer"/>
    <w:basedOn w:val="1"/>
    <w:qFormat/>
    <w:uiPriority w:val="0"/>
    <w:pPr>
      <w:tabs>
        <w:tab w:val="center" w:pos="4153"/>
        <w:tab w:val="right" w:pos="8306"/>
      </w:tabs>
      <w:snapToGrid w:val="0"/>
    </w:pPr>
    <w:rPr>
      <w:sz w:val="18"/>
      <w:szCs w:val="18"/>
    </w:rPr>
  </w:style>
  <w:style w:type="paragraph" w:styleId="25">
    <w:name w:val="header"/>
    <w:basedOn w:val="1"/>
    <w:next w:val="1"/>
    <w:link w:val="123"/>
    <w:qFormat/>
    <w:uiPriority w:val="99"/>
    <w:pPr>
      <w:pBdr>
        <w:bottom w:val="single" w:color="auto" w:sz="6" w:space="1"/>
      </w:pBdr>
      <w:tabs>
        <w:tab w:val="center" w:pos="4153"/>
        <w:tab w:val="right" w:pos="8306"/>
      </w:tabs>
      <w:snapToGrid w:val="0"/>
      <w:jc w:val="center"/>
    </w:pPr>
    <w:rPr>
      <w:sz w:val="18"/>
      <w:szCs w:val="18"/>
    </w:rPr>
  </w:style>
  <w:style w:type="paragraph" w:styleId="26">
    <w:name w:val="toc 1"/>
    <w:next w:val="1"/>
    <w:qFormat/>
    <w:uiPriority w:val="39"/>
    <w:pPr>
      <w:tabs>
        <w:tab w:val="left" w:pos="540"/>
        <w:tab w:val="right" w:leader="dot" w:pos="8312"/>
      </w:tabs>
      <w:spacing w:beforeLines="20" w:afterLines="20"/>
      <w:jc w:val="both"/>
    </w:pPr>
    <w:rPr>
      <w:rFonts w:ascii="宋体" w:hAnsi="宋体" w:eastAsia="宋体" w:cs="Times New Roman"/>
      <w:sz w:val="21"/>
      <w:szCs w:val="21"/>
      <w:lang w:val="en-US" w:eastAsia="zh-CN" w:bidi="ar-SA"/>
    </w:rPr>
  </w:style>
  <w:style w:type="paragraph" w:styleId="27">
    <w:name w:val="toc 4"/>
    <w:basedOn w:val="19"/>
    <w:next w:val="1"/>
    <w:qFormat/>
    <w:uiPriority w:val="39"/>
    <w:pPr>
      <w:widowControl/>
      <w:tabs>
        <w:tab w:val="right" w:leader="dot" w:pos="9660"/>
      </w:tabs>
      <w:adjustRightInd/>
      <w:ind w:left="210" w:leftChars="0"/>
      <w:jc w:val="center"/>
      <w:textAlignment w:val="auto"/>
    </w:pPr>
    <w:rPr>
      <w:rFonts w:ascii="黑体" w:hAnsi="宋体" w:eastAsia="黑体"/>
      <w:sz w:val="32"/>
      <w:szCs w:val="21"/>
    </w:rPr>
  </w:style>
  <w:style w:type="paragraph" w:styleId="28">
    <w:name w:val="Subtitle"/>
    <w:basedOn w:val="1"/>
    <w:next w:val="1"/>
    <w:link w:val="47"/>
    <w:qFormat/>
    <w:uiPriority w:val="0"/>
    <w:pPr>
      <w:spacing w:before="240" w:after="60" w:line="312" w:lineRule="auto"/>
      <w:jc w:val="center"/>
      <w:outlineLvl w:val="1"/>
    </w:pPr>
    <w:rPr>
      <w:rFonts w:ascii="等线 Light" w:hAnsi="等线 Light"/>
      <w:b/>
      <w:bCs/>
      <w:kern w:val="28"/>
      <w:sz w:val="32"/>
      <w:szCs w:val="32"/>
    </w:rPr>
  </w:style>
  <w:style w:type="paragraph" w:styleId="29">
    <w:name w:val="toc 6"/>
    <w:basedOn w:val="1"/>
    <w:next w:val="1"/>
    <w:unhideWhenUsed/>
    <w:qFormat/>
    <w:uiPriority w:val="39"/>
    <w:pPr>
      <w:adjustRightInd/>
      <w:ind w:left="2100" w:leftChars="1000"/>
      <w:jc w:val="both"/>
      <w:textAlignment w:val="auto"/>
    </w:pPr>
    <w:rPr>
      <w:rFonts w:ascii="等线" w:hAnsi="等线" w:eastAsia="等线"/>
      <w:kern w:val="2"/>
      <w:szCs w:val="22"/>
    </w:rPr>
  </w:style>
  <w:style w:type="paragraph" w:styleId="30">
    <w:name w:val="toc 2"/>
    <w:basedOn w:val="1"/>
    <w:next w:val="1"/>
    <w:qFormat/>
    <w:uiPriority w:val="39"/>
    <w:pPr>
      <w:tabs>
        <w:tab w:val="left" w:pos="1134"/>
        <w:tab w:val="right" w:leader="dot" w:pos="8302"/>
      </w:tabs>
      <w:ind w:left="420" w:leftChars="200"/>
    </w:pPr>
  </w:style>
  <w:style w:type="paragraph" w:styleId="31">
    <w:name w:val="toc 9"/>
    <w:basedOn w:val="1"/>
    <w:next w:val="1"/>
    <w:unhideWhenUsed/>
    <w:qFormat/>
    <w:uiPriority w:val="39"/>
    <w:pPr>
      <w:adjustRightInd/>
      <w:ind w:left="3360" w:leftChars="1600"/>
      <w:jc w:val="both"/>
      <w:textAlignment w:val="auto"/>
    </w:pPr>
    <w:rPr>
      <w:rFonts w:ascii="等线" w:hAnsi="等线" w:eastAsia="等线"/>
      <w:kern w:val="2"/>
      <w:szCs w:val="22"/>
    </w:rPr>
  </w:style>
  <w:style w:type="paragraph" w:styleId="32">
    <w:name w:val="Normal (Web)"/>
    <w:basedOn w:val="1"/>
    <w:unhideWhenUsed/>
    <w:qFormat/>
    <w:uiPriority w:val="99"/>
    <w:pPr>
      <w:widowControl/>
      <w:adjustRightInd/>
      <w:spacing w:before="100" w:beforeAutospacing="1" w:after="100" w:afterAutospacing="1"/>
      <w:textAlignment w:val="auto"/>
    </w:pPr>
    <w:rPr>
      <w:rFonts w:ascii="宋体" w:hAnsi="宋体" w:cs="宋体"/>
      <w:sz w:val="24"/>
      <w:szCs w:val="24"/>
    </w:rPr>
  </w:style>
  <w:style w:type="paragraph" w:styleId="33">
    <w:name w:val="annotation subject"/>
    <w:basedOn w:val="14"/>
    <w:next w:val="14"/>
    <w:semiHidden/>
    <w:qFormat/>
    <w:uiPriority w:val="0"/>
    <w:rPr>
      <w:b/>
      <w:bCs/>
    </w:rPr>
  </w:style>
  <w:style w:type="table" w:styleId="35">
    <w:name w:val="Table Grid"/>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page number"/>
    <w:qFormat/>
    <w:uiPriority w:val="0"/>
  </w:style>
  <w:style w:type="character" w:styleId="38">
    <w:name w:val="Hyperlink"/>
    <w:unhideWhenUsed/>
    <w:qFormat/>
    <w:uiPriority w:val="99"/>
    <w:rPr>
      <w:color w:val="0563C1"/>
      <w:u w:val="single"/>
    </w:rPr>
  </w:style>
  <w:style w:type="character" w:styleId="39">
    <w:name w:val="annotation reference"/>
    <w:semiHidden/>
    <w:qFormat/>
    <w:uiPriority w:val="0"/>
    <w:rPr>
      <w:sz w:val="21"/>
      <w:szCs w:val="21"/>
    </w:rPr>
  </w:style>
  <w:style w:type="character" w:customStyle="1" w:styleId="40">
    <w:name w:val="标题 1 Char"/>
    <w:link w:val="2"/>
    <w:qFormat/>
    <w:uiPriority w:val="0"/>
    <w:rPr>
      <w:rFonts w:ascii="黑体" w:hAnsi="黑体" w:eastAsia="黑体"/>
      <w:bCs/>
      <w:kern w:val="44"/>
      <w:sz w:val="21"/>
      <w:szCs w:val="21"/>
    </w:rPr>
  </w:style>
  <w:style w:type="character" w:customStyle="1" w:styleId="41">
    <w:name w:val="标题 2 Char"/>
    <w:link w:val="3"/>
    <w:qFormat/>
    <w:uiPriority w:val="0"/>
    <w:rPr>
      <w:rFonts w:ascii="黑体" w:hAnsi="黑体" w:eastAsia="黑体"/>
      <w:bCs/>
      <w:sz w:val="21"/>
      <w:szCs w:val="21"/>
    </w:rPr>
  </w:style>
  <w:style w:type="character" w:customStyle="1" w:styleId="42">
    <w:name w:val="标题 3 Char"/>
    <w:link w:val="4"/>
    <w:qFormat/>
    <w:uiPriority w:val="0"/>
    <w:rPr>
      <w:rFonts w:ascii="宋体" w:hAnsi="宋体"/>
      <w:bCs/>
      <w:sz w:val="21"/>
      <w:szCs w:val="21"/>
    </w:rPr>
  </w:style>
  <w:style w:type="character" w:customStyle="1" w:styleId="43">
    <w:name w:val="标题 5 Char"/>
    <w:link w:val="6"/>
    <w:qFormat/>
    <w:uiPriority w:val="0"/>
    <w:rPr>
      <w:b/>
      <w:bCs/>
      <w:sz w:val="28"/>
      <w:szCs w:val="28"/>
    </w:rPr>
  </w:style>
  <w:style w:type="character" w:customStyle="1" w:styleId="44">
    <w:name w:val="标题 7 Char"/>
    <w:link w:val="8"/>
    <w:qFormat/>
    <w:uiPriority w:val="0"/>
    <w:rPr>
      <w:b/>
      <w:bCs/>
      <w:sz w:val="24"/>
      <w:szCs w:val="24"/>
    </w:rPr>
  </w:style>
  <w:style w:type="character" w:customStyle="1" w:styleId="45">
    <w:name w:val="标题 8 Char"/>
    <w:link w:val="9"/>
    <w:qFormat/>
    <w:uiPriority w:val="0"/>
    <w:rPr>
      <w:rFonts w:ascii="等线 Light" w:hAnsi="等线 Light" w:eastAsia="等线 Light"/>
      <w:sz w:val="24"/>
      <w:szCs w:val="24"/>
    </w:rPr>
  </w:style>
  <w:style w:type="character" w:customStyle="1" w:styleId="46">
    <w:name w:val="标题 9 Char"/>
    <w:link w:val="10"/>
    <w:qFormat/>
    <w:uiPriority w:val="0"/>
    <w:rPr>
      <w:rFonts w:ascii="等线 Light" w:hAnsi="等线 Light" w:eastAsia="等线 Light"/>
      <w:sz w:val="21"/>
      <w:szCs w:val="21"/>
    </w:rPr>
  </w:style>
  <w:style w:type="character" w:customStyle="1" w:styleId="47">
    <w:name w:val="副标题 Char"/>
    <w:link w:val="28"/>
    <w:qFormat/>
    <w:uiPriority w:val="0"/>
    <w:rPr>
      <w:rFonts w:ascii="等线 Light" w:hAnsi="等线 Light"/>
      <w:b/>
      <w:bCs/>
      <w:kern w:val="28"/>
      <w:sz w:val="32"/>
      <w:szCs w:val="32"/>
    </w:rPr>
  </w:style>
  <w:style w:type="character" w:customStyle="1" w:styleId="48">
    <w:name w:val="段 Char"/>
    <w:link w:val="49"/>
    <w:qFormat/>
    <w:uiPriority w:val="0"/>
    <w:rPr>
      <w:rFonts w:ascii="宋体"/>
      <w:sz w:val="21"/>
      <w:lang w:val="en-US" w:eastAsia="zh-CN" w:bidi="ar-SA"/>
    </w:rPr>
  </w:style>
  <w:style w:type="paragraph" w:customStyle="1" w:styleId="49">
    <w:name w:val="段"/>
    <w:link w:val="48"/>
    <w:qFormat/>
    <w:uiPriority w:val="0"/>
    <w:pPr>
      <w:ind w:firstLine="200" w:firstLineChars="200"/>
      <w:jc w:val="both"/>
    </w:pPr>
    <w:rPr>
      <w:rFonts w:ascii="宋体" w:hAnsi="Times New Roman" w:eastAsia="宋体" w:cs="Times New Roman"/>
      <w:sz w:val="21"/>
      <w:lang w:val="en-US" w:eastAsia="zh-CN" w:bidi="ar-SA"/>
    </w:rPr>
  </w:style>
  <w:style w:type="character" w:customStyle="1" w:styleId="50">
    <w:name w:val="发布"/>
    <w:qFormat/>
    <w:uiPriority w:val="0"/>
    <w:rPr>
      <w:rFonts w:ascii="黑体" w:eastAsia="黑体"/>
      <w:spacing w:val="22"/>
      <w:w w:val="100"/>
      <w:position w:val="3"/>
      <w:sz w:val="28"/>
    </w:rPr>
  </w:style>
  <w:style w:type="character" w:customStyle="1" w:styleId="51">
    <w:name w:val="D2 Char Char"/>
    <w:link w:val="52"/>
    <w:qFormat/>
    <w:uiPriority w:val="0"/>
    <w:rPr>
      <w:rFonts w:ascii="宋体" w:hAnsi="宋体" w:cs="宋体"/>
      <w:sz w:val="21"/>
    </w:rPr>
  </w:style>
  <w:style w:type="paragraph" w:customStyle="1" w:styleId="52">
    <w:name w:val="D2"/>
    <w:basedOn w:val="15"/>
    <w:link w:val="51"/>
    <w:qFormat/>
    <w:uiPriority w:val="0"/>
    <w:pPr>
      <w:ind w:firstLine="420"/>
    </w:pPr>
    <w:rPr>
      <w:rFonts w:ascii="宋体" w:hAnsi="宋体" w:cs="宋体"/>
    </w:rPr>
  </w:style>
  <w:style w:type="paragraph" w:customStyle="1" w:styleId="5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4">
    <w:name w:val="发布部门"/>
    <w:next w:val="49"/>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55">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56">
    <w:name w:val="正文表标题"/>
    <w:next w:val="49"/>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paragraph" w:customStyle="1" w:styleId="57">
    <w:name w:val="其他发布日期"/>
    <w:basedOn w:val="58"/>
    <w:qFormat/>
    <w:uiPriority w:val="0"/>
    <w:pPr>
      <w:framePr w:wrap="around" w:vAnchor="page" w:hAnchor="page" w:x="1419"/>
    </w:pPr>
  </w:style>
  <w:style w:type="paragraph" w:customStyle="1" w:styleId="58">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9">
    <w:name w:val="表格文本居中"/>
    <w:basedOn w:val="1"/>
    <w:qFormat/>
    <w:uiPriority w:val="0"/>
    <w:pPr>
      <w:autoSpaceDE w:val="0"/>
      <w:autoSpaceDN w:val="0"/>
      <w:jc w:val="center"/>
      <w:textAlignment w:val="auto"/>
    </w:pPr>
  </w:style>
  <w:style w:type="paragraph" w:customStyle="1" w:styleId="60">
    <w:name w:val="00"/>
    <w:basedOn w:val="1"/>
    <w:next w:val="1"/>
    <w:qFormat/>
    <w:uiPriority w:val="0"/>
    <w:pPr>
      <w:overflowPunct w:val="0"/>
      <w:topLinePunct/>
      <w:adjustRightInd/>
      <w:spacing w:line="312" w:lineRule="exact"/>
      <w:jc w:val="both"/>
      <w:textAlignment w:val="auto"/>
    </w:pPr>
    <w:rPr>
      <w:kern w:val="2"/>
      <w:szCs w:val="24"/>
    </w:rPr>
  </w:style>
  <w:style w:type="paragraph" w:customStyle="1" w:styleId="61">
    <w:name w:val="实施日期"/>
    <w:basedOn w:val="58"/>
    <w:qFormat/>
    <w:uiPriority w:val="0"/>
    <w:pPr>
      <w:framePr w:hSpace="0" w:wrap="around" w:xAlign="right"/>
      <w:jc w:val="right"/>
    </w:pPr>
  </w:style>
  <w:style w:type="paragraph" w:customStyle="1" w:styleId="62">
    <w:name w:val="其他标准称谓"/>
    <w:next w:val="1"/>
    <w:qFormat/>
    <w:uiPriority w:val="0"/>
    <w:pPr>
      <w:spacing w:line="0" w:lineRule="atLeast"/>
      <w:jc w:val="distribute"/>
    </w:pPr>
    <w:rPr>
      <w:rFonts w:ascii="黑体" w:hAnsi="宋体" w:eastAsia="黑体" w:cs="Times New Roman"/>
      <w:sz w:val="52"/>
      <w:lang w:val="en-US" w:eastAsia="zh-CN" w:bidi="ar-SA"/>
    </w:rPr>
  </w:style>
  <w:style w:type="paragraph" w:customStyle="1" w:styleId="63">
    <w:name w:val="列表段落1"/>
    <w:basedOn w:val="1"/>
    <w:qFormat/>
    <w:uiPriority w:val="34"/>
    <w:pPr>
      <w:adjustRightInd/>
      <w:spacing w:line="580" w:lineRule="exact"/>
      <w:ind w:left="142" w:firstLine="420" w:firstLineChars="200"/>
      <w:jc w:val="both"/>
      <w:textAlignment w:val="auto"/>
    </w:pPr>
    <w:rPr>
      <w:kern w:val="2"/>
      <w:szCs w:val="24"/>
    </w:rPr>
  </w:style>
  <w:style w:type="paragraph" w:customStyle="1" w:styleId="6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6">
    <w:name w:val="其他实施日期"/>
    <w:basedOn w:val="61"/>
    <w:qFormat/>
    <w:uiPriority w:val="0"/>
    <w:pPr>
      <w:framePr w:wrap="around"/>
    </w:pPr>
  </w:style>
  <w:style w:type="paragraph" w:customStyle="1" w:styleId="67">
    <w:name w:val="Char Char Char"/>
    <w:basedOn w:val="1"/>
    <w:next w:val="1"/>
    <w:qFormat/>
    <w:uiPriority w:val="0"/>
    <w:pPr>
      <w:adjustRightInd/>
      <w:jc w:val="both"/>
      <w:textAlignment w:val="auto"/>
    </w:pPr>
    <w:rPr>
      <w:kern w:val="2"/>
      <w:sz w:val="24"/>
      <w:szCs w:val="24"/>
    </w:rPr>
  </w:style>
  <w:style w:type="paragraph" w:customStyle="1" w:styleId="68">
    <w:name w:val="列项——（一级）"/>
    <w:qFormat/>
    <w:uiPriority w:val="99"/>
    <w:pPr>
      <w:widowControl w:val="0"/>
      <w:jc w:val="both"/>
    </w:pPr>
    <w:rPr>
      <w:rFonts w:ascii="宋体" w:hAnsi="Calibri" w:eastAsia="宋体" w:cs="Times New Roman"/>
      <w:kern w:val="2"/>
      <w:sz w:val="21"/>
      <w:szCs w:val="24"/>
      <w:lang w:val="en-US" w:eastAsia="zh-CN" w:bidi="ar-SA"/>
    </w:rPr>
  </w:style>
  <w:style w:type="paragraph" w:customStyle="1" w:styleId="69">
    <w:name w:val="封面正文"/>
    <w:qFormat/>
    <w:uiPriority w:val="0"/>
    <w:pPr>
      <w:jc w:val="both"/>
    </w:pPr>
    <w:rPr>
      <w:rFonts w:ascii="Times New Roman" w:hAnsi="Times New Roman" w:eastAsia="宋体" w:cs="Times New Roman"/>
      <w:lang w:val="en-US" w:eastAsia="zh-CN" w:bidi="ar-SA"/>
    </w:rPr>
  </w:style>
  <w:style w:type="paragraph" w:customStyle="1" w:styleId="70">
    <w:name w:val="一级条标题"/>
    <w:next w:val="49"/>
    <w:qFormat/>
    <w:uiPriority w:val="99"/>
    <w:pPr>
      <w:numPr>
        <w:ilvl w:val="1"/>
        <w:numId w:val="3"/>
      </w:numPr>
      <w:spacing w:beforeLines="50" w:afterLines="50"/>
      <w:outlineLvl w:val="2"/>
    </w:pPr>
    <w:rPr>
      <w:rFonts w:ascii="黑体" w:hAnsi="Times New Roman" w:eastAsia="黑体" w:cs="Times New Roman"/>
      <w:sz w:val="21"/>
      <w:szCs w:val="21"/>
      <w:lang w:val="en-US" w:eastAsia="zh-CN" w:bidi="ar-SA"/>
    </w:rPr>
  </w:style>
  <w:style w:type="paragraph" w:customStyle="1" w:styleId="7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72">
    <w:name w:val="样式 黑体 两端对齐 行距: 固定值 18 磅1"/>
    <w:basedOn w:val="1"/>
    <w:qFormat/>
    <w:uiPriority w:val="0"/>
    <w:pPr>
      <w:spacing w:line="360" w:lineRule="exact"/>
      <w:jc w:val="both"/>
      <w:outlineLvl w:val="1"/>
    </w:pPr>
    <w:rPr>
      <w:rFonts w:ascii="黑体" w:eastAsia="黑体" w:cs="宋体"/>
    </w:rPr>
  </w:style>
  <w:style w:type="paragraph" w:customStyle="1" w:styleId="7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4">
    <w:name w:val="封面标准号2"/>
    <w:basedOn w:val="1"/>
    <w:qFormat/>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customStyle="1" w:styleId="75">
    <w:name w:val="样式 黑体 两端对齐 行距: 固定值 18 磅"/>
    <w:basedOn w:val="30"/>
    <w:qFormat/>
    <w:uiPriority w:val="0"/>
    <w:pPr>
      <w:spacing w:line="360" w:lineRule="exact"/>
      <w:jc w:val="both"/>
    </w:pPr>
    <w:rPr>
      <w:rFonts w:ascii="黑体" w:eastAsia="黑体" w:cs="宋体"/>
    </w:rPr>
  </w:style>
  <w:style w:type="paragraph" w:customStyle="1" w:styleId="76">
    <w:name w:val="其他发布部门"/>
    <w:basedOn w:val="54"/>
    <w:qFormat/>
    <w:uiPriority w:val="0"/>
    <w:pPr>
      <w:framePr w:w="7433" w:h="585" w:hRule="exact" w:hSpace="180" w:vSpace="180" w:wrap="around" w:vAnchor="margin" w:hAnchor="margin" w:xAlign="center" w:y="14401"/>
      <w:spacing w:line="0" w:lineRule="atLeast"/>
    </w:pPr>
    <w:rPr>
      <w:rFonts w:ascii="黑体" w:eastAsia="黑体"/>
      <w:sz w:val="36"/>
    </w:rPr>
  </w:style>
  <w:style w:type="paragraph" w:customStyle="1" w:styleId="77">
    <w:name w:val="三级条标题"/>
    <w:basedOn w:val="78"/>
    <w:next w:val="49"/>
    <w:qFormat/>
    <w:uiPriority w:val="0"/>
    <w:pPr>
      <w:numPr>
        <w:ilvl w:val="3"/>
      </w:numPr>
      <w:outlineLvl w:val="4"/>
    </w:pPr>
  </w:style>
  <w:style w:type="paragraph" w:customStyle="1" w:styleId="78">
    <w:name w:val="二级条标题"/>
    <w:basedOn w:val="70"/>
    <w:next w:val="49"/>
    <w:qFormat/>
    <w:uiPriority w:val="0"/>
    <w:pPr>
      <w:numPr>
        <w:ilvl w:val="2"/>
      </w:numPr>
      <w:spacing w:before="50" w:after="50"/>
      <w:outlineLvl w:val="3"/>
    </w:pPr>
  </w:style>
  <w:style w:type="paragraph" w:customStyle="1" w:styleId="79">
    <w:name w:val="TABLE-cell"/>
    <w:basedOn w:val="1"/>
    <w:next w:val="1"/>
    <w:qFormat/>
    <w:uiPriority w:val="0"/>
    <w:pPr>
      <w:widowControl/>
      <w:spacing w:before="60" w:after="60"/>
    </w:pPr>
    <w:rPr>
      <w:rFonts w:ascii="Arial" w:hAnsi="Arial"/>
      <w:spacing w:val="8"/>
      <w:sz w:val="16"/>
      <w:lang w:val="en-GB" w:eastAsia="en-US"/>
    </w:rPr>
  </w:style>
  <w:style w:type="paragraph" w:customStyle="1" w:styleId="80">
    <w:name w:val="样式 标题 3 + 五号 段前: 0 磅 段后: 0 磅 行距: 固定值 18 磅"/>
    <w:basedOn w:val="5"/>
    <w:qFormat/>
    <w:uiPriority w:val="0"/>
    <w:pPr>
      <w:spacing w:before="0" w:after="0" w:line="360" w:lineRule="exact"/>
    </w:pPr>
    <w:rPr>
      <w:rFonts w:cs="宋体"/>
      <w:sz w:val="21"/>
      <w:szCs w:val="20"/>
    </w:rPr>
  </w:style>
  <w:style w:type="paragraph" w:customStyle="1" w:styleId="8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2">
    <w:name w:val="TOC 标题1"/>
    <w:basedOn w:val="2"/>
    <w:next w:val="1"/>
    <w:qFormat/>
    <w:uiPriority w:val="39"/>
    <w:pPr>
      <w:widowControl/>
      <w:numPr>
        <w:numId w:val="0"/>
      </w:numPr>
      <w:spacing w:before="240" w:line="259" w:lineRule="auto"/>
      <w:jc w:val="left"/>
      <w:outlineLvl w:val="9"/>
    </w:pPr>
    <w:rPr>
      <w:rFonts w:ascii="等线 Light" w:hAnsi="等线 Light" w:eastAsia="等线 Light"/>
      <w:b/>
      <w:bCs w:val="0"/>
      <w:color w:val="2E74B5"/>
      <w:kern w:val="0"/>
      <w:sz w:val="32"/>
      <w:szCs w:val="32"/>
    </w:rPr>
  </w:style>
  <w:style w:type="paragraph" w:customStyle="1" w:styleId="83">
    <w:name w:val="表格内文字"/>
    <w:qFormat/>
    <w:uiPriority w:val="0"/>
    <w:pPr>
      <w:adjustRightInd w:val="0"/>
      <w:snapToGrid w:val="0"/>
      <w:jc w:val="center"/>
    </w:pPr>
    <w:rPr>
      <w:rFonts w:ascii="黑体" w:hAnsi="Arial" w:eastAsia="宋体" w:cs="Times New Roman"/>
      <w:bCs/>
      <w:sz w:val="18"/>
      <w:szCs w:val="32"/>
      <w:lang w:val="en-US" w:eastAsia="zh-CN" w:bidi="ar-SA"/>
    </w:rPr>
  </w:style>
  <w:style w:type="paragraph" w:customStyle="1" w:styleId="84">
    <w:name w:val="封面标准英文名称"/>
    <w:basedOn w:val="65"/>
    <w:qFormat/>
    <w:uiPriority w:val="0"/>
    <w:pPr>
      <w:framePr w:wrap="around"/>
      <w:spacing w:before="370" w:line="400" w:lineRule="exact"/>
    </w:pPr>
    <w:rPr>
      <w:rFonts w:ascii="Times New Roman"/>
      <w:sz w:val="28"/>
      <w:szCs w:val="28"/>
    </w:rPr>
  </w:style>
  <w:style w:type="paragraph" w:customStyle="1" w:styleId="85">
    <w:name w:val="样式 黑体 两端对齐 左侧:  0 厘米 行距: 固定值 18 磅"/>
    <w:basedOn w:val="1"/>
    <w:qFormat/>
    <w:uiPriority w:val="0"/>
    <w:pPr>
      <w:spacing w:line="360" w:lineRule="exact"/>
      <w:jc w:val="both"/>
      <w:outlineLvl w:val="1"/>
    </w:pPr>
    <w:rPr>
      <w:rFonts w:ascii="黑体" w:eastAsia="黑体" w:cs="宋体"/>
    </w:rPr>
  </w:style>
  <w:style w:type="paragraph" w:customStyle="1" w:styleId="86">
    <w:name w:val="标准书脚_偶数页"/>
    <w:qFormat/>
    <w:uiPriority w:val="0"/>
    <w:pPr>
      <w:spacing w:before="120"/>
    </w:pPr>
    <w:rPr>
      <w:rFonts w:ascii="Times New Roman" w:hAnsi="Times New Roman" w:eastAsia="宋体" w:cs="Times New Roman"/>
      <w:sz w:val="18"/>
      <w:lang w:val="en-US" w:eastAsia="zh-CN" w:bidi="ar-SA"/>
    </w:rPr>
  </w:style>
  <w:style w:type="paragraph" w:styleId="87">
    <w:name w:val="List Paragraph"/>
    <w:basedOn w:val="1"/>
    <w:qFormat/>
    <w:uiPriority w:val="34"/>
    <w:pPr>
      <w:adjustRightInd/>
      <w:ind w:firstLine="420" w:firstLineChars="200"/>
      <w:jc w:val="both"/>
      <w:textAlignment w:val="auto"/>
    </w:pPr>
    <w:rPr>
      <w:rFonts w:ascii="Calibri" w:hAnsi="Calibri"/>
      <w:kern w:val="2"/>
      <w:szCs w:val="22"/>
    </w:rPr>
  </w:style>
  <w:style w:type="paragraph" w:customStyle="1" w:styleId="88">
    <w:name w:val="封面标准代替信息"/>
    <w:basedOn w:val="74"/>
    <w:qFormat/>
    <w:uiPriority w:val="0"/>
    <w:pPr>
      <w:framePr w:wrap="around"/>
      <w:spacing w:before="57"/>
    </w:pPr>
    <w:rPr>
      <w:rFonts w:ascii="宋体"/>
      <w:sz w:val="21"/>
    </w:rPr>
  </w:style>
  <w:style w:type="paragraph" w:customStyle="1" w:styleId="89">
    <w:name w:val="注：（正文）"/>
    <w:basedOn w:val="90"/>
    <w:next w:val="49"/>
    <w:qFormat/>
    <w:uiPriority w:val="0"/>
  </w:style>
  <w:style w:type="paragraph" w:customStyle="1" w:styleId="90">
    <w:name w:val="注："/>
    <w:next w:val="49"/>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91">
    <w:name w:val="标准书眉_偶数页"/>
    <w:basedOn w:val="53"/>
    <w:next w:val="1"/>
    <w:qFormat/>
    <w:uiPriority w:val="0"/>
    <w:pPr>
      <w:jc w:val="left"/>
    </w:pPr>
  </w:style>
  <w:style w:type="paragraph" w:customStyle="1" w:styleId="92">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
    <w:name w:val="标准书眉一"/>
    <w:qFormat/>
    <w:uiPriority w:val="0"/>
    <w:pPr>
      <w:jc w:val="both"/>
    </w:pPr>
    <w:rPr>
      <w:rFonts w:ascii="Times New Roman" w:hAnsi="Times New Roman" w:eastAsia="宋体" w:cs="Times New Roman"/>
      <w:lang w:val="en-US" w:eastAsia="zh-CN" w:bidi="ar-SA"/>
    </w:rPr>
  </w:style>
  <w:style w:type="paragraph" w:customStyle="1" w:styleId="94">
    <w:name w:val="附录章标题"/>
    <w:next w:val="49"/>
    <w:qFormat/>
    <w:uiPriority w:val="0"/>
    <w:pPr>
      <w:numPr>
        <w:ilvl w:val="1"/>
        <w:numId w:val="4"/>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样式 标题 1 + 黑体 五号 非加粗 段前: 0 磅 段后: 0 磅 行距: 固定值 18 磅"/>
    <w:basedOn w:val="2"/>
    <w:qFormat/>
    <w:uiPriority w:val="0"/>
    <w:pPr>
      <w:spacing w:line="360" w:lineRule="exact"/>
    </w:pPr>
    <w:rPr>
      <w:rFonts w:cs="宋体"/>
      <w:b/>
      <w:bCs w:val="0"/>
      <w:sz w:val="28"/>
      <w:szCs w:val="20"/>
    </w:rPr>
  </w:style>
  <w:style w:type="paragraph" w:customStyle="1" w:styleId="96">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97">
    <w:name w:val="附录标识"/>
    <w:basedOn w:val="1"/>
    <w:next w:val="49"/>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rPr>
  </w:style>
  <w:style w:type="paragraph" w:customStyle="1" w:styleId="98">
    <w:name w:val="标准文件_段"/>
    <w:link w:val="11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9">
    <w:name w:val="工程建设节标题"/>
    <w:basedOn w:val="100"/>
    <w:next w:val="49"/>
    <w:qFormat/>
    <w:uiPriority w:val="0"/>
    <w:pPr>
      <w:numPr>
        <w:ilvl w:val="2"/>
      </w:numPr>
      <w:tabs>
        <w:tab w:val="left" w:pos="360"/>
        <w:tab w:val="left" w:pos="525"/>
      </w:tabs>
      <w:spacing w:beforeLines="50" w:after="400" w:line="240" w:lineRule="auto"/>
      <w:outlineLvl w:val="2"/>
    </w:pPr>
    <w:rPr>
      <w:rFonts w:hAnsi="黑体"/>
      <w:sz w:val="21"/>
    </w:rPr>
  </w:style>
  <w:style w:type="paragraph" w:customStyle="1" w:styleId="100">
    <w:name w:val="工程建设章标题"/>
    <w:next w:val="49"/>
    <w:qFormat/>
    <w:uiPriority w:val="0"/>
    <w:pPr>
      <w:numPr>
        <w:ilvl w:val="1"/>
        <w:numId w:val="6"/>
      </w:numPr>
      <w:spacing w:before="640" w:after="560" w:line="480" w:lineRule="exact"/>
      <w:jc w:val="center"/>
      <w:outlineLvl w:val="1"/>
    </w:pPr>
    <w:rPr>
      <w:rFonts w:ascii="黑体" w:hAnsi="Calibri" w:eastAsia="黑体" w:cs="Times New Roman"/>
      <w:b/>
      <w:sz w:val="28"/>
      <w:lang w:val="en-US" w:eastAsia="zh-CN" w:bidi="ar-SA"/>
    </w:rPr>
  </w:style>
  <w:style w:type="paragraph" w:customStyle="1" w:styleId="101">
    <w:name w:val="修订1"/>
    <w:hidden/>
    <w:unhideWhenUsed/>
    <w:qFormat/>
    <w:uiPriority w:val="99"/>
    <w:rPr>
      <w:rFonts w:ascii="Times New Roman" w:hAnsi="Times New Roman" w:eastAsia="宋体" w:cs="Times New Roman"/>
      <w:sz w:val="21"/>
      <w:lang w:val="en-US" w:eastAsia="zh-CN" w:bidi="ar-SA"/>
    </w:rPr>
  </w:style>
  <w:style w:type="character" w:customStyle="1" w:styleId="102">
    <w:name w:val="正文文本 Char"/>
    <w:link w:val="15"/>
    <w:qFormat/>
    <w:uiPriority w:val="99"/>
    <w:rPr>
      <w:sz w:val="21"/>
    </w:rPr>
  </w:style>
  <w:style w:type="character" w:styleId="103">
    <w:name w:val="Placeholder Text"/>
    <w:basedOn w:val="36"/>
    <w:unhideWhenUsed/>
    <w:qFormat/>
    <w:uiPriority w:val="99"/>
    <w:rPr>
      <w:color w:val="808080"/>
    </w:rPr>
  </w:style>
  <w:style w:type="paragraph" w:customStyle="1" w:styleId="104">
    <w:name w:val="修订2"/>
    <w:hidden/>
    <w:semiHidden/>
    <w:qFormat/>
    <w:uiPriority w:val="99"/>
    <w:rPr>
      <w:rFonts w:ascii="Times New Roman" w:hAnsi="Times New Roman" w:eastAsia="宋体" w:cs="Times New Roman"/>
      <w:sz w:val="21"/>
      <w:lang w:val="en-US" w:eastAsia="zh-CN" w:bidi="ar-SA"/>
    </w:rPr>
  </w:style>
  <w:style w:type="paragraph" w:customStyle="1" w:styleId="105">
    <w:name w:val="text"/>
    <w:basedOn w:val="1"/>
    <w:link w:val="106"/>
    <w:qFormat/>
    <w:uiPriority w:val="0"/>
    <w:pPr>
      <w:adjustRightInd/>
      <w:spacing w:line="360" w:lineRule="auto"/>
      <w:ind w:firstLine="480" w:firstLineChars="200"/>
      <w:jc w:val="both"/>
      <w:textAlignment w:val="auto"/>
    </w:pPr>
    <w:rPr>
      <w:kern w:val="2"/>
      <w:sz w:val="24"/>
      <w:szCs w:val="24"/>
    </w:rPr>
  </w:style>
  <w:style w:type="character" w:customStyle="1" w:styleId="106">
    <w:name w:val="text 字符"/>
    <w:basedOn w:val="36"/>
    <w:link w:val="105"/>
    <w:qFormat/>
    <w:uiPriority w:val="0"/>
    <w:rPr>
      <w:kern w:val="2"/>
      <w:sz w:val="24"/>
      <w:szCs w:val="24"/>
    </w:rPr>
  </w:style>
  <w:style w:type="paragraph" w:customStyle="1" w:styleId="107">
    <w:name w:val="规范标题"/>
    <w:basedOn w:val="105"/>
    <w:link w:val="108"/>
    <w:qFormat/>
    <w:uiPriority w:val="0"/>
    <w:pPr>
      <w:ind w:firstLine="482"/>
    </w:pPr>
    <w:rPr>
      <w:rFonts w:ascii="黑体" w:hAnsi="黑体" w:eastAsia="黑体"/>
      <w:bCs/>
    </w:rPr>
  </w:style>
  <w:style w:type="character" w:customStyle="1" w:styleId="108">
    <w:name w:val="规范标题 字符"/>
    <w:basedOn w:val="106"/>
    <w:link w:val="107"/>
    <w:qFormat/>
    <w:uiPriority w:val="0"/>
    <w:rPr>
      <w:rFonts w:ascii="黑体" w:hAnsi="黑体" w:eastAsia="黑体"/>
      <w:bCs/>
      <w:kern w:val="2"/>
      <w:sz w:val="24"/>
      <w:szCs w:val="24"/>
    </w:rPr>
  </w:style>
  <w:style w:type="paragraph" w:customStyle="1" w:styleId="109">
    <w:name w:val="yq标题2"/>
    <w:basedOn w:val="3"/>
    <w:qFormat/>
    <w:uiPriority w:val="0"/>
    <w:pPr>
      <w:widowControl/>
      <w:numPr>
        <w:ilvl w:val="0"/>
        <w:numId w:val="0"/>
      </w:numPr>
      <w:spacing w:line="360" w:lineRule="auto"/>
    </w:pPr>
    <w:rPr>
      <w:rFonts w:ascii="Cambria" w:hAnsi="Cambria" w:eastAsia="宋体"/>
    </w:rPr>
  </w:style>
  <w:style w:type="paragraph" w:customStyle="1" w:styleId="110">
    <w:name w:val="标准文件_字母编号列项（一级）"/>
    <w:qFormat/>
    <w:uiPriority w:val="0"/>
    <w:pPr>
      <w:numPr>
        <w:ilvl w:val="0"/>
        <w:numId w:val="7"/>
      </w:numPr>
      <w:jc w:val="both"/>
    </w:pPr>
    <w:rPr>
      <w:rFonts w:ascii="宋体" w:hAnsi="Times New Roman" w:eastAsia="宋体" w:cs="Times New Roman"/>
      <w:sz w:val="21"/>
      <w:lang w:val="en-US" w:eastAsia="zh-CN" w:bidi="ar-SA"/>
    </w:rPr>
  </w:style>
  <w:style w:type="paragraph" w:customStyle="1" w:styleId="111">
    <w:name w:val="修订3"/>
    <w:hidden/>
    <w:semiHidden/>
    <w:qFormat/>
    <w:uiPriority w:val="99"/>
    <w:rPr>
      <w:rFonts w:ascii="Times New Roman" w:hAnsi="Times New Roman" w:eastAsia="宋体" w:cs="Times New Roman"/>
      <w:sz w:val="21"/>
      <w:lang w:val="en-US" w:eastAsia="zh-CN" w:bidi="ar-SA"/>
    </w:rPr>
  </w:style>
  <w:style w:type="paragraph" w:customStyle="1" w:styleId="112">
    <w:name w:val="大纲正文样式"/>
    <w:basedOn w:val="1"/>
    <w:qFormat/>
    <w:uiPriority w:val="0"/>
    <w:pPr>
      <w:tabs>
        <w:tab w:val="left" w:pos="540"/>
      </w:tabs>
      <w:adjustRightInd/>
      <w:spacing w:line="300" w:lineRule="auto"/>
      <w:ind w:firstLine="200" w:firstLineChars="200"/>
      <w:jc w:val="both"/>
      <w:textAlignment w:val="auto"/>
    </w:pPr>
    <w:rPr>
      <w:rFonts w:ascii="Calibri" w:hAnsi="Calibri"/>
      <w:color w:val="000000"/>
      <w:kern w:val="2"/>
      <w:sz w:val="24"/>
      <w:szCs w:val="24"/>
    </w:rPr>
  </w:style>
  <w:style w:type="paragraph" w:customStyle="1" w:styleId="113">
    <w:name w:val="修订4"/>
    <w:hidden/>
    <w:unhideWhenUsed/>
    <w:qFormat/>
    <w:uiPriority w:val="99"/>
    <w:rPr>
      <w:rFonts w:ascii="Times New Roman" w:hAnsi="Times New Roman" w:eastAsia="宋体" w:cs="Times New Roman"/>
      <w:sz w:val="21"/>
      <w:lang w:val="en-US" w:eastAsia="zh-CN" w:bidi="ar-SA"/>
    </w:rPr>
  </w:style>
  <w:style w:type="character" w:customStyle="1" w:styleId="114">
    <w:name w:val="标准文件_段 Char"/>
    <w:link w:val="98"/>
    <w:qFormat/>
    <w:uiPriority w:val="0"/>
    <w:rPr>
      <w:rFonts w:ascii="宋体"/>
      <w:sz w:val="21"/>
    </w:rPr>
  </w:style>
  <w:style w:type="paragraph" w:customStyle="1" w:styleId="115">
    <w:name w:val="标准文件_附录标识"/>
    <w:next w:val="98"/>
    <w:qFormat/>
    <w:uiPriority w:val="0"/>
    <w:p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116">
    <w:name w:val="标准文件_附录表标题"/>
    <w:next w:val="98"/>
    <w:qFormat/>
    <w:uiPriority w:val="0"/>
    <w:pPr>
      <w:numPr>
        <w:ilvl w:val="1"/>
        <w:numId w:val="8"/>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117">
    <w:name w:val="标准文件_表格"/>
    <w:basedOn w:val="98"/>
    <w:qFormat/>
    <w:uiPriority w:val="0"/>
    <w:pPr>
      <w:ind w:firstLine="0" w:firstLineChars="0"/>
      <w:jc w:val="center"/>
    </w:pPr>
    <w:rPr>
      <w:sz w:val="18"/>
    </w:rPr>
  </w:style>
  <w:style w:type="paragraph" w:customStyle="1" w:styleId="118">
    <w:name w:val="标准文件_附录表标号"/>
    <w:basedOn w:val="98"/>
    <w:next w:val="98"/>
    <w:qFormat/>
    <w:uiPriority w:val="0"/>
    <w:pPr>
      <w:numPr>
        <w:ilvl w:val="0"/>
        <w:numId w:val="8"/>
      </w:numPr>
      <w:tabs>
        <w:tab w:val="left" w:pos="360"/>
      </w:tabs>
      <w:spacing w:line="14" w:lineRule="exact"/>
      <w:ind w:left="726" w:firstLine="0" w:firstLineChars="0"/>
      <w:jc w:val="center"/>
    </w:pPr>
    <w:rPr>
      <w:rFonts w:eastAsia="黑体"/>
      <w:vanish/>
      <w:sz w:val="2"/>
    </w:rPr>
  </w:style>
  <w:style w:type="paragraph" w:customStyle="1" w:styleId="119">
    <w:name w:val="标准文件_图表脚注"/>
    <w:basedOn w:val="1"/>
    <w:next w:val="98"/>
    <w:qFormat/>
    <w:uiPriority w:val="0"/>
    <w:pPr>
      <w:numPr>
        <w:ilvl w:val="0"/>
        <w:numId w:val="9"/>
      </w:numPr>
      <w:textAlignment w:val="auto"/>
    </w:pPr>
    <w:rPr>
      <w:rFonts w:ascii="宋体" w:hAnsi="宋体"/>
      <w:kern w:val="2"/>
      <w:sz w:val="18"/>
      <w:szCs w:val="21"/>
    </w:rPr>
  </w:style>
  <w:style w:type="paragraph" w:customStyle="1" w:styleId="120">
    <w:name w:val="标准文件_正文表标题"/>
    <w:next w:val="98"/>
    <w:qFormat/>
    <w:uiPriority w:val="0"/>
    <w:p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21">
    <w:name w:val="标准文件_注："/>
    <w:next w:val="98"/>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22">
    <w:name w:val="修订5"/>
    <w:hidden/>
    <w:semiHidden/>
    <w:qFormat/>
    <w:uiPriority w:val="99"/>
    <w:rPr>
      <w:rFonts w:ascii="Times New Roman" w:hAnsi="Times New Roman" w:eastAsia="宋体" w:cs="Times New Roman"/>
      <w:sz w:val="21"/>
      <w:lang w:val="en-US" w:eastAsia="zh-CN" w:bidi="ar-SA"/>
    </w:rPr>
  </w:style>
  <w:style w:type="character" w:customStyle="1" w:styleId="123">
    <w:name w:val="页眉 Char"/>
    <w:basedOn w:val="36"/>
    <w:link w:val="2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1" textRotate="1"/>
    <customShpInfo spid="_x0000_s1026"/>
    <customShpInfo spid="_x0000_s1029"/>
    <customShpInfo spid="_x0000_s1030"/>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9CA8A2-2337-4ECF-95AF-43295C97103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2957</Words>
  <Characters>4101</Characters>
  <Lines>35</Lines>
  <Paragraphs>10</Paragraphs>
  <TotalTime>3</TotalTime>
  <ScaleCrop>false</ScaleCrop>
  <LinksUpToDate>false</LinksUpToDate>
  <CharactersWithSpaces>4268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2024-12-02T07:36:00Z</dcterms:created>
  <dc:creator>CH</dc:creator>
  <cp:lastModifiedBy>金鑫</cp:lastModifiedBy>
  <cp:lastPrinted>2010-12-09T01:17:00Z</cp:lastPrinted>
  <dcterms:modified xsi:type="dcterms:W3CDTF">2025-04-28T05:43:01Z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D527530378C14287BA095566219AE27E</vt:lpwstr>
  </property>
  <property fmtid="{D5CDD505-2E9C-101B-9397-08002B2CF9AE}" pid="4" name="KSOTemplateDocerSaveRecord">
    <vt:lpwstr>eyJoZGlkIjoiOTJkNzE3MzJmZGU1YTg4ZmE0NjBlZTViNWY5ZmUyZjQiLCJ1c2VySWQiOiIxNDQ1MTQ3Nzk3In0=</vt:lpwstr>
  </property>
</Properties>
</file>