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4F9DFB">
      <w:pPr>
        <w:pStyle w:val="72"/>
        <w:framePr w:wrap="around"/>
      </w:pPr>
      <w:r>
        <w:rPr>
          <w:rFonts w:ascii="Times New Roman"/>
        </w:rPr>
        <w:t>ICS</w:t>
      </w:r>
      <w:r>
        <w:rPr>
          <w:rFonts w:ascii="MS Mincho" w:hAnsi="MS Mincho" w:eastAsia="MS Mincho" w:cs="MS Mincho"/>
        </w:rPr>
        <w:t> </w:t>
      </w:r>
      <w:r>
        <w:rPr>
          <w:rFonts w:hint="eastAsia"/>
        </w:rPr>
        <w:t>17.220.20</w:t>
      </w:r>
    </w:p>
    <w:p w14:paraId="0C6C7DEE">
      <w:pPr>
        <w:pStyle w:val="72"/>
        <w:framePr w:wrap="around"/>
      </w:pPr>
      <w:bookmarkStart w:id="0" w:name="WXFLH"/>
      <w:r>
        <w:fldChar w:fldCharType="begin">
          <w:ffData>
            <w:name w:val="WXFLH"/>
            <w:enabled/>
            <w:calcOnExit w:val="0"/>
            <w:helpText w:type="text" w:val="请输入中国标准文献分类号："/>
            <w:textInput>
              <w:default w:val="N 22"/>
            </w:textInput>
          </w:ffData>
        </w:fldChar>
      </w:r>
      <w:r>
        <w:instrText xml:space="preserve"> FORMTEXT </w:instrText>
      </w:r>
      <w:r>
        <w:fldChar w:fldCharType="separate"/>
      </w:r>
      <w:r>
        <w:t>N 22</w:t>
      </w:r>
      <w:r>
        <w:fldChar w:fldCharType="end"/>
      </w:r>
      <w:bookmarkEnd w:id="0"/>
    </w:p>
    <w:tbl>
      <w:tblPr>
        <w:tblStyle w:val="25"/>
        <w:tblW w:w="9473" w:type="dxa"/>
        <w:tblInd w:w="0" w:type="dxa"/>
        <w:tblLayout w:type="fixed"/>
        <w:tblCellMar>
          <w:top w:w="0" w:type="dxa"/>
          <w:left w:w="108" w:type="dxa"/>
          <w:bottom w:w="0" w:type="dxa"/>
          <w:right w:w="108" w:type="dxa"/>
        </w:tblCellMar>
      </w:tblPr>
      <w:tblGrid>
        <w:gridCol w:w="9473"/>
      </w:tblGrid>
      <w:tr w14:paraId="444FEAA5">
        <w:tblPrEx>
          <w:tblCellMar>
            <w:top w:w="0" w:type="dxa"/>
            <w:left w:w="108" w:type="dxa"/>
            <w:bottom w:w="0" w:type="dxa"/>
            <w:right w:w="108" w:type="dxa"/>
          </w:tblCellMar>
        </w:tblPrEx>
        <w:tc>
          <w:tcPr>
            <w:tcW w:w="9473" w:type="dxa"/>
            <w:tcBorders>
              <w:top w:val="nil"/>
              <w:left w:val="nil"/>
              <w:bottom w:val="nil"/>
              <w:right w:val="nil"/>
            </w:tcBorders>
            <w:shd w:val="clear" w:color="auto" w:fill="auto"/>
          </w:tcPr>
          <w:p w14:paraId="3927BB79">
            <w:pPr>
              <w:pStyle w:val="72"/>
              <w:framePr w:wrap="around"/>
              <w:ind w:left="900" w:leftChars="200" w:hanging="420" w:hangingChars="200"/>
              <w:jc w:val="both"/>
            </w:pPr>
            <w:r>
              <mc:AlternateContent>
                <mc:Choice Requires="wps">
                  <w:drawing>
                    <wp:anchor distT="0" distB="0" distL="114300" distR="114300" simplePos="0" relativeHeight="251664384" behindDoc="1" locked="0" layoutInCell="1" allowOverlap="1">
                      <wp:simplePos x="0" y="0"/>
                      <wp:positionH relativeFrom="column">
                        <wp:posOffset>-66675</wp:posOffset>
                      </wp:positionH>
                      <wp:positionV relativeFrom="paragraph">
                        <wp:posOffset>0</wp:posOffset>
                      </wp:positionV>
                      <wp:extent cx="866775" cy="198120"/>
                      <wp:effectExtent l="0" t="0" r="1905" b="0"/>
                      <wp:wrapNone/>
                      <wp:docPr id="1" name="BAH"/>
                      <wp:cNvGraphicFramePr/>
                      <a:graphic xmlns:a="http://schemas.openxmlformats.org/drawingml/2006/main">
                        <a:graphicData uri="http://schemas.microsoft.com/office/word/2010/wordprocessingShape">
                          <wps:wsp>
                            <wps:cNvSpPr/>
                            <wps:spPr>
                              <a:xfrm>
                                <a:off x="0" y="0"/>
                                <a:ext cx="866775" cy="198120"/>
                              </a:xfrm>
                              <a:prstGeom prst="rect">
                                <a:avLst/>
                              </a:prstGeom>
                              <a:solidFill>
                                <a:srgbClr val="FFFFFF"/>
                              </a:solidFill>
                              <a:ln w="9525">
                                <a:noFill/>
                              </a:ln>
                              <a:effectLst/>
                            </wps:spPr>
                            <wps:bodyPr upright="1"/>
                          </wps:wsp>
                        </a:graphicData>
                      </a:graphic>
                    </wp:anchor>
                  </w:drawing>
                </mc:Choice>
                <mc:Fallback>
                  <w:pict>
                    <v:rect id="BAH" o:spid="_x0000_s1026" o:spt="1" style="position:absolute;left:0pt;margin-left:-5.25pt;margin-top:0pt;height:15.6pt;width:68.25pt;z-index:-251652096;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iuL+zV&#10;AAAABwEAAA8AAAAAAAAAAQAgAAAAIgAAAGRycy9kb3ducmV2LnhtbFBLAQIUABQAAAAIAIdO4kCI&#10;4mE7sQEAAHADAAAOAAAAAAAAAAEAIAAAACQBAABkcnMvZTJvRG9jLnhtbFBLBQYAAAAABgAGAFkB&#10;AABHBQAAAAA=&#10;">
                      <v:fill on="t" focussize="0,0"/>
                      <v:stroke on="f"/>
                      <v:imagedata o:title=""/>
                      <o:lock v:ext="edit" aspectratio="f"/>
                    </v:rect>
                  </w:pict>
                </mc:Fallback>
              </mc:AlternateContent>
            </w:r>
            <w:r>
              <w:fldChar w:fldCharType="begin">
                <w:ffData>
                  <w:name w:val="BAH"/>
                  <w:enabled/>
                  <w:calcOnExit w:val="0"/>
                  <w:textInput/>
                </w:ffData>
              </w:fldChar>
            </w:r>
            <w:bookmarkStart w:id="1" w:name="BAH"/>
            <w:r>
              <w:instrText xml:space="preserve"> FORMTEXT </w:instrText>
            </w:r>
            <w:r>
              <w:fldChar w:fldCharType="separate"/>
            </w:r>
            <w:r>
              <w:t>     </w:t>
            </w:r>
            <w:r>
              <w:fldChar w:fldCharType="end"/>
            </w:r>
            <w:bookmarkEnd w:id="1"/>
          </w:p>
        </w:tc>
      </w:tr>
    </w:tbl>
    <w:p w14:paraId="48E9A60A">
      <w:pPr>
        <w:pStyle w:val="69"/>
        <w:framePr w:wrap="around" w:x="5028"/>
      </w:pPr>
      <w:r>
        <w:rPr>
          <w:rFonts w:hint="eastAsia"/>
        </w:rPr>
        <w:t>T</w:t>
      </w:r>
    </w:p>
    <w:p w14:paraId="4693AF44">
      <w:pPr>
        <w:pStyle w:val="70"/>
        <w:framePr w:wrap="around"/>
        <w:rPr>
          <w:rFonts w:ascii="Times New Roman" w:hAnsi="Times New Roman"/>
        </w:rPr>
      </w:pPr>
      <w:r>
        <w:rPr>
          <w:rFonts w:hint="eastAsia"/>
        </w:rPr>
        <w:t>团体标准</w:t>
      </w:r>
    </w:p>
    <w:p w14:paraId="2AB7912E">
      <w:pPr>
        <w:pStyle w:val="61"/>
        <w:framePr w:wrap="around"/>
      </w:pPr>
      <w:bookmarkStart w:id="2" w:name="StdNo1"/>
      <w:r>
        <w:rPr>
          <w:rFonts w:ascii="黑体" w:hAnsi="Times New Roman" w:eastAsia="黑体" w:cs="Times New Roman"/>
          <w:sz w:val="28"/>
          <w:szCs w:val="28"/>
          <w:lang w:val="en-US" w:eastAsia="zh-CN" w:bidi="ar-SA"/>
        </w:rPr>
        <w:fldChar w:fldCharType="begin">
          <w:ffData>
            <w:name w:val="StdNo1"/>
            <w:enabled/>
            <w:calcOnExit w:val="0"/>
            <w:textInput>
              <w:default w:val="T/CIMA  0092.1"/>
            </w:textInput>
          </w:ffData>
        </w:fldChar>
      </w:r>
      <w:r>
        <w:rPr>
          <w:rFonts w:ascii="黑体" w:hAnsi="Times New Roman" w:eastAsia="黑体" w:cs="Times New Roman"/>
          <w:sz w:val="28"/>
          <w:szCs w:val="28"/>
          <w:lang w:val="en-US" w:eastAsia="zh-CN" w:bidi="ar-SA"/>
        </w:rPr>
        <w:instrText xml:space="preserve">FORMTEXT</w:instrText>
      </w:r>
      <w:r>
        <w:rPr>
          <w:rFonts w:ascii="黑体" w:hAnsi="Times New Roman" w:eastAsia="黑体" w:cs="Times New Roman"/>
          <w:sz w:val="28"/>
          <w:szCs w:val="28"/>
          <w:lang w:val="en-US" w:eastAsia="zh-CN" w:bidi="ar-SA"/>
        </w:rPr>
        <w:fldChar w:fldCharType="separate"/>
      </w:r>
      <w:r>
        <w:rPr>
          <w:rFonts w:ascii="黑体" w:hAnsi="Times New Roman" w:eastAsia="黑体" w:cs="Times New Roman"/>
          <w:sz w:val="28"/>
          <w:szCs w:val="28"/>
          <w:lang w:val="en-US" w:eastAsia="zh-CN" w:bidi="ar-SA"/>
        </w:rPr>
        <w:t>T/CIMA  0092.1</w:t>
      </w:r>
      <w:r>
        <w:rPr>
          <w:rFonts w:ascii="黑体" w:hAnsi="Times New Roman" w:eastAsia="黑体" w:cs="Times New Roman"/>
          <w:sz w:val="28"/>
          <w:szCs w:val="28"/>
          <w:lang w:val="en-US" w:eastAsia="zh-CN" w:bidi="ar-SA"/>
        </w:rPr>
        <w:fldChar w:fldCharType="end"/>
      </w:r>
      <w:bookmarkEnd w:id="2"/>
      <w:r>
        <w:t>—</w:t>
      </w:r>
      <w:r>
        <w:fldChar w:fldCharType="begin">
          <w:ffData>
            <w:name w:val="StdNo2"/>
            <w:enabled/>
            <w:calcOnExit w:val="0"/>
            <w:textInput>
              <w:default w:val="XXXX"/>
              <w:maxLength w:val="4"/>
            </w:textInput>
          </w:ffData>
        </w:fldChar>
      </w:r>
      <w:bookmarkStart w:id="3" w:name="StdNo2"/>
      <w:r>
        <w:instrText xml:space="preserve"> FORMTEXT </w:instrText>
      </w:r>
      <w:r>
        <w:fldChar w:fldCharType="separate"/>
      </w:r>
      <w:r>
        <w:t>XXXX</w:t>
      </w:r>
      <w:r>
        <w:fldChar w:fldCharType="end"/>
      </w:r>
      <w:bookmarkEnd w:id="3"/>
    </w:p>
    <w:tbl>
      <w:tblPr>
        <w:tblStyle w:val="25"/>
        <w:tblW w:w="18712" w:type="dxa"/>
        <w:tblInd w:w="0" w:type="dxa"/>
        <w:tblLayout w:type="fixed"/>
        <w:tblCellMar>
          <w:top w:w="0" w:type="dxa"/>
          <w:left w:w="108" w:type="dxa"/>
          <w:bottom w:w="0" w:type="dxa"/>
          <w:right w:w="108" w:type="dxa"/>
        </w:tblCellMar>
      </w:tblPr>
      <w:tblGrid>
        <w:gridCol w:w="9356"/>
        <w:gridCol w:w="9356"/>
      </w:tblGrid>
      <w:tr w14:paraId="5C3935DB">
        <w:tblPrEx>
          <w:tblCellMar>
            <w:top w:w="0" w:type="dxa"/>
            <w:left w:w="108" w:type="dxa"/>
            <w:bottom w:w="0" w:type="dxa"/>
            <w:right w:w="108" w:type="dxa"/>
          </w:tblCellMar>
        </w:tblPrEx>
        <w:tc>
          <w:tcPr>
            <w:tcW w:w="9356" w:type="dxa"/>
            <w:tcBorders>
              <w:top w:val="nil"/>
              <w:left w:val="nil"/>
              <w:bottom w:val="nil"/>
              <w:right w:val="nil"/>
            </w:tcBorders>
            <w:shd w:val="clear" w:color="auto" w:fill="auto"/>
          </w:tcPr>
          <w:p w14:paraId="5F496481">
            <w:pPr>
              <w:pStyle w:val="63"/>
              <w:framePr w:wrap="around"/>
              <w:widowControl w:val="0"/>
              <w:ind w:left="900" w:leftChars="200" w:hanging="420" w:hangingChars="200"/>
            </w:pPr>
          </w:p>
        </w:tc>
        <w:tc>
          <w:tcPr>
            <w:tcW w:w="9356" w:type="dxa"/>
            <w:tcBorders>
              <w:top w:val="nil"/>
              <w:left w:val="nil"/>
              <w:bottom w:val="nil"/>
              <w:right w:val="nil"/>
            </w:tcBorders>
          </w:tcPr>
          <w:p w14:paraId="1DA19E0E">
            <w:pPr>
              <w:pStyle w:val="63"/>
              <w:framePr w:wrap="around"/>
              <w:widowControl w:val="0"/>
              <w:ind w:left="900" w:leftChars="200" w:hanging="420" w:hangingChars="200"/>
            </w:pPr>
          </w:p>
        </w:tc>
      </w:tr>
    </w:tbl>
    <w:p w14:paraId="19D40A4C">
      <w:pPr>
        <w:pStyle w:val="61"/>
        <w:framePr w:wrap="around"/>
      </w:pPr>
    </w:p>
    <w:p w14:paraId="769BC31F">
      <w:pPr>
        <w:pStyle w:val="61"/>
        <w:framePr w:wrap="around"/>
      </w:pPr>
    </w:p>
    <w:p w14:paraId="50998155">
      <w:pPr>
        <w:pStyle w:val="64"/>
        <w:framePr w:w="7459" w:wrap="around" w:x="2502"/>
        <w:spacing w:line="276" w:lineRule="auto"/>
      </w:pPr>
      <w:bookmarkStart w:id="4" w:name="StdName"/>
      <w:r>
        <w:fldChar w:fldCharType="begin">
          <w:ffData>
            <w:name w:val="StdName"/>
            <w:enabled/>
            <w:calcOnExit w:val="0"/>
            <w:textInput>
              <w:default w:val="采集终端远程通信单元                  第1部分 技术规范"/>
            </w:textInput>
          </w:ffData>
        </w:fldChar>
      </w:r>
      <w:r>
        <w:instrText xml:space="preserve"> FORMTEXT </w:instrText>
      </w:r>
      <w:r>
        <w:fldChar w:fldCharType="separate"/>
      </w:r>
      <w:r>
        <w:rPr>
          <w:rFonts w:hint="eastAsia"/>
        </w:rPr>
        <w:t>采集终端远程通信单元                  第1部分 技术规范</w:t>
      </w:r>
      <w:r>
        <w:fldChar w:fldCharType="end"/>
      </w:r>
      <w:bookmarkEnd w:id="4"/>
    </w:p>
    <w:p w14:paraId="2C038A7F">
      <w:pPr>
        <w:pStyle w:val="65"/>
        <w:framePr w:w="7459" w:wrap="around" w:x="2502"/>
        <w:spacing w:before="0" w:line="276" w:lineRule="auto"/>
        <w:rPr>
          <w:sz w:val="21"/>
          <w:szCs w:val="21"/>
        </w:rPr>
      </w:pPr>
      <w:bookmarkStart w:id="5" w:name="StdEnglishName"/>
      <w:r>
        <w:rPr>
          <w:color w:val="000000" w:themeColor="text1"/>
          <w14:textFill>
            <w14:solidFill>
              <w14:schemeClr w14:val="tx1"/>
            </w14:solidFill>
          </w14:textFill>
        </w:rPr>
        <w:fldChar w:fldCharType="begin">
          <w:ffData>
            <w:name w:val="StdEnglishName"/>
            <w:enabled/>
            <w:calcOnExit w:val="0"/>
            <w:textInput>
              <w:default w:val="Remote communication unit of acquisition terminal-                     Part 1:Technical specification"/>
            </w:textInput>
          </w:ffData>
        </w:fldChar>
      </w:r>
      <w:r>
        <w:rPr>
          <w:color w:val="000000" w:themeColor="text1"/>
          <w14:textFill>
            <w14:solidFill>
              <w14:schemeClr w14:val="tx1"/>
            </w14:solidFill>
          </w14:textFill>
        </w:rPr>
        <w:instrText xml:space="preserve"> FORMTEXT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Remote communication unit of acquisition terminal-                     Part 1:Technical specification</w:t>
      </w:r>
      <w:r>
        <w:rPr>
          <w:color w:val="000000" w:themeColor="text1"/>
          <w14:textFill>
            <w14:solidFill>
              <w14:schemeClr w14:val="tx1"/>
            </w14:solidFill>
          </w14:textFill>
        </w:rPr>
        <w:fldChar w:fldCharType="end"/>
      </w:r>
      <w:bookmarkEnd w:id="5"/>
    </w:p>
    <w:p w14:paraId="1EE50434">
      <w:pPr>
        <w:pStyle w:val="66"/>
        <w:framePr w:w="7459" w:wrap="around" w:x="2502"/>
      </w:pPr>
      <w:bookmarkStart w:id="6" w:name="YZBS"/>
      <w:r>
        <w:fldChar w:fldCharType="begin">
          <w:ffData>
            <w:name w:val="YZBS"/>
            <w:enabled/>
            <w:calcOnExit w:val="0"/>
            <w:textInput/>
          </w:ffData>
        </w:fldChar>
      </w:r>
      <w:r>
        <w:instrText xml:space="preserve"> FORMTEXT </w:instrText>
      </w:r>
      <w:r>
        <w:fldChar w:fldCharType="separate"/>
      </w:r>
      <w:r>
        <w:t>     </w:t>
      </w:r>
      <w:r>
        <w:fldChar w:fldCharType="end"/>
      </w:r>
      <w:bookmarkEnd w:id="6"/>
    </w:p>
    <w:tbl>
      <w:tblPr>
        <w:tblStyle w:val="25"/>
        <w:tblW w:w="9422" w:type="dxa"/>
        <w:tblInd w:w="0" w:type="dxa"/>
        <w:tblLayout w:type="fixed"/>
        <w:tblCellMar>
          <w:top w:w="0" w:type="dxa"/>
          <w:left w:w="108" w:type="dxa"/>
          <w:bottom w:w="0" w:type="dxa"/>
          <w:right w:w="108" w:type="dxa"/>
        </w:tblCellMar>
      </w:tblPr>
      <w:tblGrid>
        <w:gridCol w:w="9422"/>
      </w:tblGrid>
      <w:tr w14:paraId="4FED7BD6">
        <w:tblPrEx>
          <w:tblCellMar>
            <w:top w:w="0" w:type="dxa"/>
            <w:left w:w="108" w:type="dxa"/>
            <w:bottom w:w="0" w:type="dxa"/>
            <w:right w:w="108" w:type="dxa"/>
          </w:tblCellMar>
        </w:tblPrEx>
        <w:trPr>
          <w:trHeight w:val="1037" w:hRule="atLeast"/>
        </w:trPr>
        <w:tc>
          <w:tcPr>
            <w:tcW w:w="9422" w:type="dxa"/>
            <w:tcBorders>
              <w:top w:val="nil"/>
              <w:left w:val="nil"/>
              <w:bottom w:val="nil"/>
              <w:right w:val="nil"/>
            </w:tcBorders>
            <w:shd w:val="clear" w:color="auto" w:fill="auto"/>
          </w:tcPr>
          <w:p w14:paraId="52DEFF1A">
            <w:pPr>
              <w:pStyle w:val="67"/>
              <w:framePr w:w="7459" w:wrap="around" w:x="2502"/>
              <w:ind w:left="-1200" w:leftChars="-700" w:hanging="480" w:hangingChars="200"/>
            </w:pPr>
            <w:r>
              <mc:AlternateContent>
                <mc:Choice Requires="wps">
                  <w:drawing>
                    <wp:anchor distT="0" distB="0" distL="114300" distR="114300" simplePos="0" relativeHeight="251663360" behindDoc="1" locked="1" layoutInCell="1" allowOverlap="1">
                      <wp:simplePos x="0" y="0"/>
                      <wp:positionH relativeFrom="column">
                        <wp:posOffset>2200910</wp:posOffset>
                      </wp:positionH>
                      <wp:positionV relativeFrom="paragraph">
                        <wp:posOffset>4281805</wp:posOffset>
                      </wp:positionV>
                      <wp:extent cx="1905000" cy="254000"/>
                      <wp:effectExtent l="0" t="0" r="0" b="5080"/>
                      <wp:wrapNone/>
                      <wp:docPr id="6" name="RQ"/>
                      <wp:cNvGraphicFramePr/>
                      <a:graphic xmlns:a="http://schemas.openxmlformats.org/drawingml/2006/main">
                        <a:graphicData uri="http://schemas.microsoft.com/office/word/2010/wordprocessingShape">
                          <wps:wsp>
                            <wps:cNvSpPr/>
                            <wps:spPr>
                              <a:xfrm>
                                <a:off x="0" y="0"/>
                                <a:ext cx="1905000" cy="254000"/>
                              </a:xfrm>
                              <a:prstGeom prst="rect">
                                <a:avLst/>
                              </a:prstGeom>
                              <a:solidFill>
                                <a:srgbClr val="FFFFFF"/>
                              </a:solidFill>
                              <a:ln w="9525">
                                <a:noFill/>
                              </a:ln>
                              <a:effectLst/>
                            </wps:spPr>
                            <wps:bodyPr upright="1"/>
                          </wps:wsp>
                        </a:graphicData>
                      </a:graphic>
                    </wp:anchor>
                  </w:drawing>
                </mc:Choice>
                <mc:Fallback>
                  <w:pict>
                    <v:rect id="RQ" o:spid="_x0000_s1026" o:spt="1" style="position:absolute;left:0pt;margin-left:173.3pt;margin-top:337.15pt;height:20pt;width:150pt;z-index:-251653120;mso-width-relative:page;mso-height-relative:page;" fillcolor="#FFFFFF" filled="t" stroked="f" coordsize="21600,21600" o:gfxdata="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39f34NcAAAAL&#10;AQAADwAAAAAAAAABACAAAAAiAAAAZHJzL2Rvd25yZXYueG1sUEsBAhQAFAAAAAgAh07iQKEG1gir&#10;AQAAcAMAAA4AAAAAAAAAAQAgAAAAJgEAAGRycy9lMm9Eb2MueG1sUEsFBgAAAAAGAAYAWQEAAEMF&#10;AAAAAA==&#10;">
                      <v:fill on="t" focussize="0,0"/>
                      <v:stroke on="f"/>
                      <v:imagedata o:title=""/>
                      <o:lock v:ext="edit" aspectratio="f"/>
                      <w10:anchorlock/>
                    </v:rect>
                  </w:pict>
                </mc:Fallback>
              </mc:AlternateContent>
            </w:r>
            <w:r>
              <w:fldChar w:fldCharType="begin">
                <w:ffData>
                  <w:name w:val="LB"/>
                  <w:enabled/>
                  <w:calcOnExit w:val="0"/>
                  <w:ddList>
                    <w:listEntry w:val="（征求意见稿）"/>
                    <w:listEntry w:val="（送审讨论稿）"/>
                    <w:listEntry w:val="（送审稿）"/>
                    <w:listEntry w:val="（报批稿）"/>
                    <w:listEntry w:val="（草案稿）"/>
                  </w:ddList>
                </w:ffData>
              </w:fldChar>
            </w:r>
            <w:bookmarkStart w:id="7" w:name="LB"/>
            <w:r>
              <w:instrText xml:space="preserve"> FORMDROPDOWN </w:instrText>
            </w:r>
            <w:r>
              <w:fldChar w:fldCharType="separate"/>
            </w:r>
            <w:r>
              <w:fldChar w:fldCharType="end"/>
            </w:r>
            <w:bookmarkEnd w:id="7"/>
          </w:p>
          <w:p w14:paraId="1EACF4AB">
            <w:pPr>
              <w:pStyle w:val="67"/>
              <w:framePr w:w="7459" w:wrap="around" w:x="2502"/>
              <w:ind w:left="-1200" w:leftChars="-700" w:hanging="480" w:hangingChars="200"/>
              <w:rPr>
                <w:rFonts w:hint="default" w:eastAsia="宋体"/>
                <w:lang w:val="en-US" w:eastAsia="zh-CN"/>
              </w:rPr>
            </w:pPr>
            <w:r>
              <w:rPr>
                <w:rFonts w:hint="eastAsia"/>
                <w:lang w:val="en-US" w:eastAsia="zh-CN"/>
              </w:rPr>
              <w:t>20250401</w:t>
            </w:r>
          </w:p>
          <w:p w14:paraId="6A34C44C">
            <w:pPr>
              <w:pStyle w:val="67"/>
              <w:framePr w:w="7459" w:wrap="around" w:x="2502"/>
              <w:ind w:left="-1200" w:leftChars="-700" w:hanging="480" w:hangingChars="200"/>
            </w:pPr>
            <w:bookmarkStart w:id="171" w:name="_GoBack"/>
            <w:r>
              <w:rPr>
                <w:rFonts w:hint="eastAsia"/>
                <w:highlight w:val="none"/>
                <w:lang w:eastAsia="zh-CN"/>
              </w:rPr>
              <w:t>（</w:t>
            </w:r>
            <w:r>
              <w:rPr>
                <w:rFonts w:hint="eastAsia"/>
                <w:sz w:val="21"/>
                <w:szCs w:val="21"/>
              </w:rPr>
              <w:t>在提交反馈意见时，请将您知道的相关专利连同支持性文件一并附上。</w:t>
            </w:r>
            <w:r>
              <w:rPr>
                <w:rFonts w:hint="eastAsia"/>
                <w:highlight w:val="none"/>
                <w:lang w:eastAsia="zh-CN"/>
              </w:rPr>
              <w:t>）</w:t>
            </w:r>
          </w:p>
          <w:bookmarkEnd w:id="171"/>
          <w:p w14:paraId="093A2337">
            <w:pPr>
              <w:pStyle w:val="67"/>
              <w:framePr w:w="7459" w:wrap="around" w:x="2502"/>
              <w:ind w:left="-1200" w:leftChars="-700" w:hanging="480" w:hangingChars="200"/>
            </w:pPr>
          </w:p>
        </w:tc>
      </w:tr>
      <w:tr w14:paraId="7E08A9E7">
        <w:tblPrEx>
          <w:tblCellMar>
            <w:top w:w="0" w:type="dxa"/>
            <w:left w:w="108" w:type="dxa"/>
            <w:bottom w:w="0" w:type="dxa"/>
            <w:right w:w="108" w:type="dxa"/>
          </w:tblCellMar>
        </w:tblPrEx>
        <w:trPr>
          <w:trHeight w:val="608" w:hRule="atLeast"/>
        </w:trPr>
        <w:tc>
          <w:tcPr>
            <w:tcW w:w="9422" w:type="dxa"/>
            <w:tcBorders>
              <w:top w:val="nil"/>
              <w:left w:val="nil"/>
              <w:bottom w:val="nil"/>
              <w:right w:val="nil"/>
            </w:tcBorders>
            <w:shd w:val="clear" w:color="auto" w:fill="auto"/>
          </w:tcPr>
          <w:p w14:paraId="64B49017">
            <w:pPr>
              <w:pStyle w:val="68"/>
              <w:framePr w:w="7459" w:wrap="around" w:x="2502"/>
              <w:ind w:left="900" w:leftChars="200" w:hanging="420" w:hangingChars="200"/>
            </w:pPr>
            <w:bookmarkStart w:id="8" w:name="WCRQ"/>
            <w:r>
              <w:fldChar w:fldCharType="begin">
                <w:ffData>
                  <w:name w:val="WCRQ"/>
                  <w:enabled/>
                  <w:calcOnExit w:val="0"/>
                  <w:textInput/>
                </w:ffData>
              </w:fldChar>
            </w:r>
            <w:r>
              <w:instrText xml:space="preserve"> FORMTEXT </w:instrText>
            </w:r>
            <w:r>
              <w:fldChar w:fldCharType="separate"/>
            </w:r>
            <w:r>
              <w:t>     </w:t>
            </w:r>
            <w:r>
              <w:fldChar w:fldCharType="end"/>
            </w:r>
            <w:bookmarkEnd w:id="8"/>
          </w:p>
        </w:tc>
      </w:tr>
    </w:tbl>
    <w:p w14:paraId="2D6B042C">
      <w:pPr>
        <w:pStyle w:val="73"/>
        <w:framePr w:wrap="around"/>
      </w:pPr>
      <w:bookmarkStart w:id="9" w:name="FY"/>
      <w:r>
        <w:rPr>
          <w:rFonts w:ascii="黑体"/>
        </w:rPr>
        <w:fldChar w:fldCharType="begin">
          <w:ffData>
            <w:name w:val="FY"/>
            <w:enabled/>
            <w:calcOnExit w:val="0"/>
            <w:entryMacro w:val="ShowHelp8"/>
            <w:textInput>
              <w:default w:val="XXXX"/>
              <w:maxLength w:val="4"/>
            </w:textInput>
          </w:ffData>
        </w:fldChar>
      </w:r>
      <w:r>
        <w:rPr>
          <w:rFonts w:ascii="黑体"/>
        </w:rPr>
        <w:instrText xml:space="preserve"> FORMTEXT </w:instrText>
      </w:r>
      <w:r>
        <w:rPr>
          <w:rFonts w:ascii="黑体"/>
        </w:rPr>
        <w:fldChar w:fldCharType="separate"/>
      </w:r>
      <w:r>
        <w:rPr>
          <w:rFonts w:ascii="黑体"/>
        </w:rPr>
        <w:t>XXXX</w:t>
      </w:r>
      <w:r>
        <w:rPr>
          <w:rFonts w:ascii="黑体"/>
        </w:rPr>
        <w:fldChar w:fldCharType="end"/>
      </w:r>
      <w:bookmarkEnd w:id="9"/>
      <w:r>
        <w:rPr>
          <w:rFonts w:ascii="黑体"/>
        </w:rPr>
        <w:t>-</w:t>
      </w:r>
      <w:r>
        <w:rPr>
          <w:rFonts w:ascii="黑体"/>
        </w:rPr>
        <w:fldChar w:fldCharType="begin">
          <w:ffData>
            <w:name w:val="FM"/>
            <w:enabled/>
            <w:calcOnExit w:val="0"/>
            <w:entryMacro w:val="ShowHelp8"/>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r>
        <w:rPr>
          <w:rFonts w:ascii="黑体"/>
        </w:rPr>
        <w:t>-</w:t>
      </w:r>
      <w:bookmarkStart w:id="10" w:name="FD"/>
      <w:r>
        <w:rPr>
          <w:rFonts w:ascii="黑体"/>
        </w:rPr>
        <w:fldChar w:fldCharType="begin">
          <w:ffData>
            <w:name w:val="FD"/>
            <w:enabled/>
            <w:calcOnExit w:val="0"/>
            <w:entryMacro w:val="ShowHelp8"/>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rPr>
          <w:rFonts w:hint="eastAsia"/>
        </w:rPr>
        <w:t>发布</w:t>
      </w:r>
      <w:r>
        <mc:AlternateContent>
          <mc:Choice Requires="wps">
            <w:drawing>
              <wp:anchor distT="0" distB="0" distL="114300" distR="114300" simplePos="0" relativeHeight="251659264" behindDoc="0" locked="1" layoutInCell="1" allowOverlap="1">
                <wp:simplePos x="0" y="0"/>
                <wp:positionH relativeFrom="column">
                  <wp:posOffset>-635</wp:posOffset>
                </wp:positionH>
                <wp:positionV relativeFrom="page">
                  <wp:posOffset>9251950</wp:posOffset>
                </wp:positionV>
                <wp:extent cx="6120130" cy="0"/>
                <wp:effectExtent l="0" t="4445" r="0" b="5080"/>
                <wp:wrapNone/>
                <wp:docPr id="2" name="Line 5"/>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5" o:spid="_x0000_s1026" o:spt="20" style="position:absolute;left:0pt;margin-left:-0.05pt;margin-top:728.5pt;height:0pt;width:481.9pt;mso-position-vertical-relative:page;z-index:251659264;mso-width-relative:page;mso-height-relative:page;" filled="f" stroked="t" coordsize="21600,21600" o:gfxdata="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JYdrPNYAAAALAQAADwAAAAAAAAABACAA&#10;AAAiAAAAZHJzL2Rvd25yZXYueG1sUEsBAhQAFAAAAAgAh07iQBdwH8LWAQAA2wMAAA4AAAAAAAAA&#10;AQAgAAAAJQEAAGRycy9lMm9Eb2MueG1sUEsFBgAAAAAGAAYAWQEAAG0FAAAAAA==&#10;">
                <v:fill on="f" focussize="0,0"/>
                <v:stroke color="#000000" joinstyle="round"/>
                <v:imagedata o:title=""/>
                <o:lock v:ext="edit" aspectratio="f"/>
                <w10:anchorlock/>
              </v:line>
            </w:pict>
          </mc:Fallback>
        </mc:AlternateContent>
      </w:r>
    </w:p>
    <w:p w14:paraId="7D8BCC32">
      <w:pPr>
        <w:pStyle w:val="74"/>
        <w:framePr w:wrap="around"/>
      </w:pPr>
      <w:bookmarkStart w:id="11" w:name="SY"/>
      <w:r>
        <w:rPr>
          <w:rFonts w:ascii="黑体"/>
        </w:rPr>
        <w:fldChar w:fldCharType="begin">
          <w:ffData>
            <w:name w:val="SY"/>
            <w:enabled/>
            <w:calcOnExit w:val="0"/>
            <w:entryMacro w:val="ShowHelp9"/>
            <w:textInput>
              <w:default w:val="XXXX"/>
              <w:maxLength w:val="4"/>
            </w:textInput>
          </w:ffData>
        </w:fldChar>
      </w:r>
      <w:r>
        <w:rPr>
          <w:rFonts w:ascii="黑体"/>
        </w:rPr>
        <w:instrText xml:space="preserve"> FORMTEXT </w:instrText>
      </w:r>
      <w:r>
        <w:rPr>
          <w:rFonts w:ascii="黑体"/>
        </w:rPr>
        <w:fldChar w:fldCharType="separate"/>
      </w:r>
      <w:r>
        <w:rPr>
          <w:rFonts w:ascii="黑体"/>
        </w:rPr>
        <w:t>XXXX</w:t>
      </w:r>
      <w:r>
        <w:rPr>
          <w:rFonts w:ascii="黑体"/>
        </w:rPr>
        <w:fldChar w:fldCharType="end"/>
      </w:r>
      <w:bookmarkEnd w:id="11"/>
      <w:r>
        <w:rPr>
          <w:rFonts w:ascii="黑体"/>
        </w:rPr>
        <w:t>-</w:t>
      </w:r>
      <w:bookmarkStart w:id="12" w:name="SM"/>
      <w:r>
        <w:rPr>
          <w:rFonts w:ascii="黑体"/>
        </w:rPr>
        <w:fldChar w:fldCharType="begin">
          <w:ffData>
            <w:name w:val="SM"/>
            <w:enabled/>
            <w:calcOnExit w:val="0"/>
            <w:entryMacro w:val="ShowHelp9"/>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rPr>
          <w:rFonts w:ascii="黑体"/>
        </w:rPr>
        <w:t>-</w:t>
      </w:r>
      <w:bookmarkStart w:id="13" w:name="SD"/>
      <w:r>
        <w:rPr>
          <w:rFonts w:ascii="黑体"/>
        </w:rPr>
        <w:fldChar w:fldCharType="begin">
          <w:ffData>
            <w:name w:val="SD"/>
            <w:enabled/>
            <w:calcOnExit w:val="0"/>
            <w:entryMacro w:val="ShowHelp9"/>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rPr>
          <w:rFonts w:hint="eastAsia"/>
        </w:rPr>
        <w:t>实施</w:t>
      </w:r>
    </w:p>
    <w:p w14:paraId="77258D8D">
      <w:pPr>
        <w:pStyle w:val="71"/>
        <w:framePr w:wrap="around"/>
      </w:pPr>
      <w:bookmarkStart w:id="14" w:name="fm"/>
      <w:r>
        <mc:AlternateContent>
          <mc:Choice Requires="wps">
            <w:drawing>
              <wp:anchor distT="0" distB="0" distL="114300" distR="114300" simplePos="0" relativeHeight="251662336" behindDoc="1" locked="0" layoutInCell="1" allowOverlap="1">
                <wp:simplePos x="0" y="0"/>
                <wp:positionH relativeFrom="column">
                  <wp:posOffset>1810385</wp:posOffset>
                </wp:positionH>
                <wp:positionV relativeFrom="paragraph">
                  <wp:posOffset>-3942715</wp:posOffset>
                </wp:positionV>
                <wp:extent cx="1270000" cy="304800"/>
                <wp:effectExtent l="0" t="0" r="10160" b="0"/>
                <wp:wrapNone/>
                <wp:docPr id="5" name="LB"/>
                <wp:cNvGraphicFramePr/>
                <a:graphic xmlns:a="http://schemas.openxmlformats.org/drawingml/2006/main">
                  <a:graphicData uri="http://schemas.microsoft.com/office/word/2010/wordprocessingShape">
                    <wps:wsp>
                      <wps:cNvSpPr/>
                      <wps:spPr>
                        <a:xfrm>
                          <a:off x="0" y="0"/>
                          <a:ext cx="1270000" cy="304800"/>
                        </a:xfrm>
                        <a:prstGeom prst="rect">
                          <a:avLst/>
                        </a:prstGeom>
                        <a:solidFill>
                          <a:srgbClr val="FFFFFF"/>
                        </a:solidFill>
                        <a:ln w="9525">
                          <a:noFill/>
                        </a:ln>
                        <a:effectLst/>
                      </wps:spPr>
                      <wps:bodyPr upright="1"/>
                    </wps:wsp>
                  </a:graphicData>
                </a:graphic>
              </wp:anchor>
            </w:drawing>
          </mc:Choice>
          <mc:Fallback>
            <w:pict>
              <v:rect id="LB" o:spid="_x0000_s1026" o:spt="1" style="position:absolute;left:0pt;margin-left:142.55pt;margin-top:-310.45pt;height:24pt;width:100pt;z-index:-251654144;mso-width-relative:page;mso-height-relative:page;" fillcolor="#FFFFFF" filled="t" stroked="f" coordsize="21600,21600"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bXu1tkA&#10;AAANAQAADwAAAAAAAAABACAAAAAiAAAAZHJzL2Rvd25yZXYueG1sUEsBAhQAFAAAAAgAh07iQFuQ&#10;Z+GsAQAAcAMAAA4AAAAAAAAAAQAgAAAAKAEAAGRycy9lMm9Eb2MueG1sUEsFBgAAAAAGAAYAWQEA&#10;AEYFAAAAAA==&#10;">
                <v:fill on="t" focussize="0,0"/>
                <v:stroke on="f"/>
                <v:imagedata o:title=""/>
                <o:lock v:ext="edit" aspectratio="f"/>
              </v:rect>
            </w:pict>
          </mc:Fallback>
        </mc:AlternateContent>
      </w:r>
      <w:r>
        <mc:AlternateContent>
          <mc:Choice Requires="wps">
            <w:drawing>
              <wp:anchor distT="0" distB="0" distL="114300" distR="114300" simplePos="0" relativeHeight="251661312" behindDoc="1" locked="0" layoutInCell="1" allowOverlap="1">
                <wp:simplePos x="0" y="0"/>
                <wp:positionH relativeFrom="column">
                  <wp:posOffset>4413885</wp:posOffset>
                </wp:positionH>
                <wp:positionV relativeFrom="paragraph">
                  <wp:posOffset>-7435215</wp:posOffset>
                </wp:positionV>
                <wp:extent cx="1143000" cy="228600"/>
                <wp:effectExtent l="0" t="0" r="0" b="0"/>
                <wp:wrapNone/>
                <wp:docPr id="4" name="DT"/>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FFFFFF"/>
                        </a:solidFill>
                        <a:ln w="9525">
                          <a:noFill/>
                        </a:ln>
                        <a:effectLst/>
                      </wps:spPr>
                      <wps:bodyPr upright="1"/>
                    </wps:wsp>
                  </a:graphicData>
                </a:graphic>
              </wp:anchor>
            </w:drawing>
          </mc:Choice>
          <mc:Fallback>
            <w:pict>
              <v:rect id="DT" o:spid="_x0000_s1026" o:spt="1" style="position:absolute;left:0pt;margin-left:347.55pt;margin-top:-585.45pt;height:18pt;width:90pt;z-index:-251655168;mso-width-relative:page;mso-height-relative:page;" fillcolor="#FFFFFF" filled="t" stroked="f" coordsize="21600,21600"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N/JihHa&#10;AAAADwEAAA8AAAAAAAAAAQAgAAAAIgAAAGRycy9kb3ducmV2LnhtbFBLAQIUABQAAAAIAIdO4kBf&#10;iSwOrAEAAHADAAAOAAAAAAAAAAEAIAAAACkBAABkcnMvZTJvRG9jLnhtbFBLBQYAAAAABgAGAFkB&#10;AABHBQAAAAA=&#10;">
                <v:fill on="t" focussize="0,0"/>
                <v:stroke on="f"/>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-464820</wp:posOffset>
                </wp:positionH>
                <wp:positionV relativeFrom="paragraph">
                  <wp:posOffset>-7021195</wp:posOffset>
                </wp:positionV>
                <wp:extent cx="6120130" cy="0"/>
                <wp:effectExtent l="0" t="4445" r="0" b="5080"/>
                <wp:wrapNone/>
                <wp:docPr id="3" name="Line 2"/>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2" o:spid="_x0000_s1026" o:spt="20" style="position:absolute;left:0pt;margin-left:-36.6pt;margin-top:-552.85pt;height:0pt;width:481.9pt;z-index:251660288;mso-width-relative:page;mso-height-relative:page;" filled="f" stroked="t" coordsize="21600,21600" o:gfxdata="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7JZGg2AAAAA8BAAAPAAAAAAAAAAEA&#10;IAAAACIAAABkcnMvZG93bnJldi54bWxQSwECFAAUAAAACACHTuJAN02HH9YBAADbAwAADgAAAAAA&#10;AAABACAAAAAnAQAAZHJzL2Uyb0RvYy54bWxQSwUGAAAAAAYABgBZAQAAbwUAAAAA&#10;">
                <v:fill on="f" focussize="0,0"/>
                <v:stroke color="#000000" joinstyle="round"/>
                <v:imagedata o:title=""/>
                <o:lock v:ext="edit" aspectratio="f"/>
              </v:line>
            </w:pict>
          </mc:Fallback>
        </mc:AlternateContent>
      </w:r>
      <w:bookmarkEnd w:id="14"/>
      <w:bookmarkStart w:id="15" w:name="_Hlk169532414"/>
      <w:r>
        <w:rPr>
          <w:rFonts w:hint="eastAsia"/>
        </w:rPr>
        <w:t>中国仪器仪表行业协会</w:t>
      </w:r>
      <w:bookmarkEnd w:id="15"/>
      <w:r>
        <w:rPr>
          <w:rFonts w:hint="eastAsia"/>
        </w:rPr>
        <w:t>发布</w:t>
      </w:r>
    </w:p>
    <w:p w14:paraId="76B44FEF">
      <w:pPr>
        <w:sectPr>
          <w:headerReference r:id="rId5" w:type="first"/>
          <w:footerReference r:id="rId8" w:type="first"/>
          <w:headerReference r:id="rId3" w:type="default"/>
          <w:footerReference r:id="rId6" w:type="default"/>
          <w:headerReference r:id="rId4" w:type="even"/>
          <w:footerReference r:id="rId7" w:type="even"/>
          <w:pgSz w:w="11906" w:h="16838"/>
          <w:pgMar w:top="1440" w:right="849" w:bottom="1440" w:left="1800" w:header="851" w:footer="992" w:gutter="0"/>
          <w:pgNumType w:fmt="upperRoman" w:start="1" w:chapStyle="1"/>
          <w:cols w:space="425" w:num="1"/>
          <w:titlePg/>
          <w:docGrid w:type="lines" w:linePitch="312" w:charSpace="0"/>
        </w:sectPr>
      </w:pPr>
    </w:p>
    <w:p w14:paraId="7E6B6B72">
      <w:pPr>
        <w:pStyle w:val="51"/>
      </w:pPr>
      <w:bookmarkStart w:id="16" w:name="_Toc90668981"/>
      <w:bookmarkStart w:id="17" w:name="_Toc164421240"/>
      <w:bookmarkStart w:id="18" w:name="_Toc907"/>
      <w:r>
        <w:rPr>
          <w:rFonts w:hint="eastAsia"/>
        </w:rPr>
        <w:t>目</w:t>
      </w:r>
      <w:bookmarkStart w:id="19" w:name="BKML"/>
      <w:r>
        <w:t>  </w:t>
      </w:r>
      <w:r>
        <w:rPr>
          <w:rFonts w:hint="eastAsia"/>
        </w:rPr>
        <w:t>次</w:t>
      </w:r>
      <w:bookmarkEnd w:id="16"/>
      <w:bookmarkEnd w:id="17"/>
      <w:bookmarkEnd w:id="18"/>
      <w:bookmarkEnd w:id="19"/>
    </w:p>
    <w:p w14:paraId="7A05FCB5">
      <w:pPr>
        <w:pStyle w:val="17"/>
        <w:spacing w:before="78" w:after="78"/>
        <w:ind w:right="-1037"/>
        <w:rPr>
          <w:rFonts w:hAnsi="宋体" w:cstheme="minorBidi"/>
          <w:szCs w:val="22"/>
        </w:rPr>
      </w:pPr>
      <w:r>
        <w:rPr>
          <w:rFonts w:hAnsi="宋体"/>
        </w:rPr>
        <w:fldChar w:fldCharType="begin" w:fldLock="1"/>
      </w:r>
      <w:r>
        <w:rPr>
          <w:rFonts w:hAnsi="宋体"/>
        </w:rPr>
        <w:instrText xml:space="preserve">TOC \o "1-3" \h \z \u</w:instrText>
      </w:r>
      <w:r>
        <w:rPr>
          <w:rFonts w:hAnsi="宋体"/>
        </w:rPr>
        <w:fldChar w:fldCharType="separate"/>
      </w:r>
      <w:r>
        <w:fldChar w:fldCharType="begin"/>
      </w:r>
      <w:r>
        <w:instrText xml:space="preserve"> HYPERLINK \l "_Toc164421240" </w:instrText>
      </w:r>
      <w:r>
        <w:fldChar w:fldCharType="separate"/>
      </w:r>
      <w:r>
        <w:rPr>
          <w:rStyle w:val="30"/>
          <w:rFonts w:hAnsi="宋体"/>
        </w:rPr>
        <w:t>目  次</w:t>
      </w:r>
      <w:r>
        <w:rPr>
          <w:rFonts w:hAnsi="宋体"/>
        </w:rPr>
        <w:tab/>
      </w:r>
      <w:r>
        <w:rPr>
          <w:rFonts w:hAnsi="宋体"/>
        </w:rPr>
        <w:fldChar w:fldCharType="begin" w:fldLock="1"/>
      </w:r>
      <w:r>
        <w:rPr>
          <w:rFonts w:hAnsi="宋体"/>
        </w:rPr>
        <w:instrText xml:space="preserve"> PAGEREF _Toc164421240 \h </w:instrText>
      </w:r>
      <w:r>
        <w:rPr>
          <w:rFonts w:hAnsi="宋体"/>
        </w:rPr>
        <w:fldChar w:fldCharType="separate"/>
      </w:r>
      <w:r>
        <w:rPr>
          <w:rFonts w:hAnsi="宋体"/>
        </w:rPr>
        <w:t>I</w:t>
      </w:r>
      <w:r>
        <w:rPr>
          <w:rFonts w:hAnsi="宋体"/>
        </w:rPr>
        <w:fldChar w:fldCharType="end"/>
      </w:r>
      <w:r>
        <w:rPr>
          <w:rFonts w:hAnsi="宋体"/>
        </w:rPr>
        <w:fldChar w:fldCharType="end"/>
      </w:r>
    </w:p>
    <w:p w14:paraId="52BC952D">
      <w:pPr>
        <w:pStyle w:val="17"/>
        <w:spacing w:before="78" w:after="78"/>
        <w:ind w:right="-1037"/>
        <w:rPr>
          <w:rFonts w:hAnsi="宋体" w:cstheme="minorBidi"/>
          <w:szCs w:val="22"/>
        </w:rPr>
      </w:pPr>
      <w:r>
        <w:fldChar w:fldCharType="begin"/>
      </w:r>
      <w:r>
        <w:instrText xml:space="preserve"> HYPERLINK \l "_Toc164421241" </w:instrText>
      </w:r>
      <w:r>
        <w:fldChar w:fldCharType="separate"/>
      </w:r>
      <w:r>
        <w:rPr>
          <w:rStyle w:val="30"/>
          <w:rFonts w:hAnsi="宋体"/>
        </w:rPr>
        <w:t>前  言</w:t>
      </w:r>
      <w:r>
        <w:rPr>
          <w:rFonts w:hAnsi="宋体"/>
        </w:rPr>
        <w:tab/>
      </w:r>
      <w:r>
        <w:rPr>
          <w:rFonts w:hAnsi="宋体"/>
        </w:rPr>
        <w:fldChar w:fldCharType="begin" w:fldLock="1"/>
      </w:r>
      <w:r>
        <w:rPr>
          <w:rFonts w:hAnsi="宋体"/>
        </w:rPr>
        <w:instrText xml:space="preserve"> PAGEREF _Toc164421241 \h </w:instrText>
      </w:r>
      <w:r>
        <w:rPr>
          <w:rFonts w:hAnsi="宋体"/>
        </w:rPr>
        <w:fldChar w:fldCharType="separate"/>
      </w:r>
      <w:r>
        <w:rPr>
          <w:rFonts w:hAnsi="宋体"/>
        </w:rPr>
        <w:t>II</w:t>
      </w:r>
      <w:r>
        <w:rPr>
          <w:rFonts w:hAnsi="宋体"/>
        </w:rPr>
        <w:fldChar w:fldCharType="end"/>
      </w:r>
      <w:r>
        <w:rPr>
          <w:rFonts w:hAnsi="宋体"/>
        </w:rPr>
        <w:fldChar w:fldCharType="end"/>
      </w:r>
    </w:p>
    <w:p w14:paraId="27B3CF11">
      <w:pPr>
        <w:pStyle w:val="17"/>
        <w:spacing w:before="78" w:after="78"/>
        <w:ind w:right="-1037"/>
        <w:rPr>
          <w:rFonts w:hAnsi="宋体" w:cstheme="minorBidi"/>
          <w:szCs w:val="22"/>
        </w:rPr>
      </w:pPr>
      <w:r>
        <w:fldChar w:fldCharType="begin"/>
      </w:r>
      <w:r>
        <w:instrText xml:space="preserve"> HYPERLINK \l "_Toc164421242" </w:instrText>
      </w:r>
      <w:r>
        <w:fldChar w:fldCharType="separate"/>
      </w:r>
      <w:r>
        <w:rPr>
          <w:rStyle w:val="30"/>
          <w:rFonts w:hAnsi="宋体"/>
        </w:rPr>
        <w:t>引  言</w:t>
      </w:r>
      <w:r>
        <w:rPr>
          <w:rFonts w:hAnsi="宋体"/>
        </w:rPr>
        <w:tab/>
      </w:r>
      <w:r>
        <w:rPr>
          <w:rFonts w:hAnsi="宋体"/>
        </w:rPr>
        <w:fldChar w:fldCharType="begin" w:fldLock="1"/>
      </w:r>
      <w:r>
        <w:rPr>
          <w:rFonts w:hAnsi="宋体"/>
        </w:rPr>
        <w:instrText xml:space="preserve"> PAGEREF _Toc164421242 \h </w:instrText>
      </w:r>
      <w:r>
        <w:rPr>
          <w:rFonts w:hAnsi="宋体"/>
        </w:rPr>
        <w:fldChar w:fldCharType="separate"/>
      </w:r>
      <w:r>
        <w:rPr>
          <w:rFonts w:hAnsi="宋体"/>
        </w:rPr>
        <w:t>1</w:t>
      </w:r>
      <w:r>
        <w:rPr>
          <w:rFonts w:hAnsi="宋体"/>
        </w:rPr>
        <w:fldChar w:fldCharType="end"/>
      </w:r>
      <w:r>
        <w:rPr>
          <w:rFonts w:hAnsi="宋体"/>
        </w:rPr>
        <w:fldChar w:fldCharType="end"/>
      </w:r>
    </w:p>
    <w:p w14:paraId="381B9259">
      <w:pPr>
        <w:pStyle w:val="20"/>
        <w:rPr>
          <w:rFonts w:ascii="宋体" w:hAnsi="宋体" w:eastAsia="宋体"/>
        </w:rPr>
      </w:pPr>
      <w:r>
        <w:fldChar w:fldCharType="begin"/>
      </w:r>
      <w:r>
        <w:instrText xml:space="preserve"> HYPERLINK \l "_Toc164421243" </w:instrText>
      </w:r>
      <w:r>
        <w:fldChar w:fldCharType="separate"/>
      </w:r>
      <w:r>
        <w:rPr>
          <w:rStyle w:val="30"/>
          <w:rFonts w:ascii="宋体" w:hAnsi="宋体" w:eastAsia="宋体"/>
        </w:rPr>
        <w:t>1 范围</w:t>
      </w:r>
      <w:r>
        <w:rPr>
          <w:rFonts w:ascii="宋体" w:hAnsi="宋体" w:eastAsia="宋体"/>
        </w:rPr>
        <w:tab/>
      </w:r>
      <w:r>
        <w:rPr>
          <w:rFonts w:ascii="宋体" w:hAnsi="宋体" w:eastAsia="宋体"/>
        </w:rPr>
        <w:fldChar w:fldCharType="begin" w:fldLock="1"/>
      </w:r>
      <w:r>
        <w:rPr>
          <w:rFonts w:ascii="宋体" w:hAnsi="宋体" w:eastAsia="宋体"/>
        </w:rPr>
        <w:instrText xml:space="preserve"> PAGEREF _Toc164421243 \h </w:instrText>
      </w:r>
      <w:r>
        <w:rPr>
          <w:rFonts w:ascii="宋体" w:hAnsi="宋体" w:eastAsia="宋体"/>
        </w:rPr>
        <w:fldChar w:fldCharType="separate"/>
      </w:r>
      <w:r>
        <w:rPr>
          <w:rFonts w:ascii="宋体" w:hAnsi="宋体" w:eastAsia="宋体"/>
        </w:rPr>
        <w:t>2</w:t>
      </w:r>
      <w:r>
        <w:rPr>
          <w:rFonts w:ascii="宋体" w:hAnsi="宋体" w:eastAsia="宋体"/>
        </w:rPr>
        <w:fldChar w:fldCharType="end"/>
      </w:r>
      <w:r>
        <w:rPr>
          <w:rFonts w:ascii="宋体" w:hAnsi="宋体" w:eastAsia="宋体"/>
        </w:rPr>
        <w:fldChar w:fldCharType="end"/>
      </w:r>
    </w:p>
    <w:p w14:paraId="14CA2BA3">
      <w:pPr>
        <w:pStyle w:val="20"/>
        <w:rPr>
          <w:rFonts w:ascii="宋体" w:hAnsi="宋体" w:eastAsia="宋体"/>
        </w:rPr>
      </w:pPr>
      <w:r>
        <w:fldChar w:fldCharType="begin"/>
      </w:r>
      <w:r>
        <w:instrText xml:space="preserve"> HYPERLINK \l "_Toc164421244" </w:instrText>
      </w:r>
      <w:r>
        <w:fldChar w:fldCharType="separate"/>
      </w:r>
      <w:r>
        <w:rPr>
          <w:rStyle w:val="30"/>
          <w:rFonts w:ascii="宋体" w:hAnsi="宋体" w:eastAsia="宋体"/>
        </w:rPr>
        <w:t>2 规范性引用文件</w:t>
      </w:r>
      <w:r>
        <w:rPr>
          <w:rFonts w:ascii="宋体" w:hAnsi="宋体" w:eastAsia="宋体"/>
        </w:rPr>
        <w:tab/>
      </w:r>
      <w:r>
        <w:rPr>
          <w:rFonts w:ascii="宋体" w:hAnsi="宋体" w:eastAsia="宋体"/>
        </w:rPr>
        <w:fldChar w:fldCharType="begin" w:fldLock="1"/>
      </w:r>
      <w:r>
        <w:rPr>
          <w:rFonts w:ascii="宋体" w:hAnsi="宋体" w:eastAsia="宋体"/>
        </w:rPr>
        <w:instrText xml:space="preserve"> PAGEREF _Toc164421244 \h </w:instrText>
      </w:r>
      <w:r>
        <w:rPr>
          <w:rFonts w:ascii="宋体" w:hAnsi="宋体" w:eastAsia="宋体"/>
        </w:rPr>
        <w:fldChar w:fldCharType="separate"/>
      </w:r>
      <w:r>
        <w:rPr>
          <w:rFonts w:ascii="宋体" w:hAnsi="宋体" w:eastAsia="宋体"/>
        </w:rPr>
        <w:t>2</w:t>
      </w:r>
      <w:r>
        <w:rPr>
          <w:rFonts w:ascii="宋体" w:hAnsi="宋体" w:eastAsia="宋体"/>
        </w:rPr>
        <w:fldChar w:fldCharType="end"/>
      </w:r>
      <w:r>
        <w:rPr>
          <w:rFonts w:ascii="宋体" w:hAnsi="宋体" w:eastAsia="宋体"/>
        </w:rPr>
        <w:fldChar w:fldCharType="end"/>
      </w:r>
    </w:p>
    <w:p w14:paraId="2AF8D4BF">
      <w:pPr>
        <w:pStyle w:val="20"/>
        <w:rPr>
          <w:rFonts w:ascii="宋体" w:hAnsi="宋体" w:eastAsia="宋体"/>
        </w:rPr>
      </w:pPr>
      <w:r>
        <w:fldChar w:fldCharType="begin"/>
      </w:r>
      <w:r>
        <w:instrText xml:space="preserve"> HYPERLINK \l "_Toc164421245" </w:instrText>
      </w:r>
      <w:r>
        <w:fldChar w:fldCharType="separate"/>
      </w:r>
      <w:r>
        <w:rPr>
          <w:rStyle w:val="30"/>
          <w:rFonts w:ascii="宋体" w:hAnsi="宋体" w:eastAsia="宋体"/>
        </w:rPr>
        <w:t>3 术语和定义</w:t>
      </w:r>
      <w:r>
        <w:rPr>
          <w:rFonts w:ascii="宋体" w:hAnsi="宋体" w:eastAsia="宋体"/>
        </w:rPr>
        <w:tab/>
      </w:r>
      <w:r>
        <w:rPr>
          <w:rFonts w:ascii="宋体" w:hAnsi="宋体" w:eastAsia="宋体"/>
        </w:rPr>
        <w:fldChar w:fldCharType="begin" w:fldLock="1"/>
      </w:r>
      <w:r>
        <w:rPr>
          <w:rFonts w:ascii="宋体" w:hAnsi="宋体" w:eastAsia="宋体"/>
        </w:rPr>
        <w:instrText xml:space="preserve"> PAGEREF _Toc164421245 \h </w:instrText>
      </w:r>
      <w:r>
        <w:rPr>
          <w:rFonts w:ascii="宋体" w:hAnsi="宋体" w:eastAsia="宋体"/>
        </w:rPr>
        <w:fldChar w:fldCharType="separate"/>
      </w:r>
      <w:r>
        <w:rPr>
          <w:rFonts w:ascii="宋体" w:hAnsi="宋体" w:eastAsia="宋体"/>
        </w:rPr>
        <w:t>3</w:t>
      </w:r>
      <w:r>
        <w:rPr>
          <w:rFonts w:ascii="宋体" w:hAnsi="宋体" w:eastAsia="宋体"/>
        </w:rPr>
        <w:fldChar w:fldCharType="end"/>
      </w:r>
      <w:r>
        <w:rPr>
          <w:rFonts w:ascii="宋体" w:hAnsi="宋体" w:eastAsia="宋体"/>
        </w:rPr>
        <w:fldChar w:fldCharType="end"/>
      </w:r>
    </w:p>
    <w:p w14:paraId="270676A2">
      <w:pPr>
        <w:pStyle w:val="11"/>
        <w:ind w:firstLine="210"/>
        <w:rPr>
          <w:rFonts w:hAnsi="宋体" w:cstheme="minorBidi"/>
          <w:szCs w:val="22"/>
        </w:rPr>
      </w:pPr>
      <w:r>
        <w:fldChar w:fldCharType="begin"/>
      </w:r>
      <w:r>
        <w:instrText xml:space="preserve"> HYPERLINK \l "_Toc164421246" </w:instrText>
      </w:r>
      <w:r>
        <w:fldChar w:fldCharType="separate"/>
      </w:r>
      <w:r>
        <w:rPr>
          <w:rStyle w:val="30"/>
          <w:rFonts w:hAnsi="宋体"/>
        </w:rPr>
        <w:t>3.1</w:t>
      </w:r>
      <w:r>
        <w:rPr>
          <w:rFonts w:hAnsi="宋体"/>
        </w:rPr>
        <w:tab/>
      </w:r>
      <w:r>
        <w:rPr>
          <w:rFonts w:hAnsi="宋体"/>
        </w:rPr>
        <w:fldChar w:fldCharType="begin" w:fldLock="1"/>
      </w:r>
      <w:r>
        <w:rPr>
          <w:rFonts w:hAnsi="宋体"/>
        </w:rPr>
        <w:instrText xml:space="preserve"> PAGEREF _Toc164421246 \h </w:instrText>
      </w:r>
      <w:r>
        <w:rPr>
          <w:rFonts w:hAnsi="宋体"/>
        </w:rPr>
        <w:fldChar w:fldCharType="separate"/>
      </w:r>
      <w:r>
        <w:rPr>
          <w:rFonts w:hAnsi="宋体"/>
        </w:rPr>
        <w:t>3</w:t>
      </w:r>
      <w:r>
        <w:rPr>
          <w:rFonts w:hAnsi="宋体"/>
        </w:rPr>
        <w:fldChar w:fldCharType="end"/>
      </w:r>
      <w:r>
        <w:rPr>
          <w:rFonts w:hAnsi="宋体"/>
        </w:rPr>
        <w:fldChar w:fldCharType="end"/>
      </w:r>
    </w:p>
    <w:p w14:paraId="3E01F720">
      <w:pPr>
        <w:pStyle w:val="11"/>
        <w:ind w:firstLine="210"/>
        <w:rPr>
          <w:rFonts w:hAnsi="宋体" w:cstheme="minorBidi"/>
          <w:szCs w:val="22"/>
        </w:rPr>
      </w:pPr>
      <w:r>
        <w:fldChar w:fldCharType="begin"/>
      </w:r>
      <w:r>
        <w:instrText xml:space="preserve"> HYPERLINK \l "_Toc164421247" </w:instrText>
      </w:r>
      <w:r>
        <w:fldChar w:fldCharType="separate"/>
      </w:r>
      <w:r>
        <w:rPr>
          <w:rStyle w:val="30"/>
          <w:rFonts w:hAnsi="宋体"/>
        </w:rPr>
        <w:t>3.2</w:t>
      </w:r>
      <w:r>
        <w:rPr>
          <w:rFonts w:hAnsi="宋体"/>
        </w:rPr>
        <w:tab/>
      </w:r>
      <w:r>
        <w:rPr>
          <w:rFonts w:hAnsi="宋体"/>
        </w:rPr>
        <w:fldChar w:fldCharType="begin" w:fldLock="1"/>
      </w:r>
      <w:r>
        <w:rPr>
          <w:rFonts w:hAnsi="宋体"/>
        </w:rPr>
        <w:instrText xml:space="preserve"> PAGEREF _Toc164421247 \h </w:instrText>
      </w:r>
      <w:r>
        <w:rPr>
          <w:rFonts w:hAnsi="宋体"/>
        </w:rPr>
        <w:fldChar w:fldCharType="separate"/>
      </w:r>
      <w:r>
        <w:rPr>
          <w:rFonts w:hAnsi="宋体"/>
        </w:rPr>
        <w:t>3</w:t>
      </w:r>
      <w:r>
        <w:rPr>
          <w:rFonts w:hAnsi="宋体"/>
        </w:rPr>
        <w:fldChar w:fldCharType="end"/>
      </w:r>
      <w:r>
        <w:rPr>
          <w:rFonts w:hAnsi="宋体"/>
        </w:rPr>
        <w:fldChar w:fldCharType="end"/>
      </w:r>
    </w:p>
    <w:p w14:paraId="6C724B08">
      <w:pPr>
        <w:pStyle w:val="11"/>
        <w:ind w:firstLine="210"/>
        <w:rPr>
          <w:rFonts w:hAnsi="宋体" w:cstheme="minorBidi"/>
          <w:szCs w:val="22"/>
        </w:rPr>
      </w:pPr>
      <w:r>
        <w:fldChar w:fldCharType="begin"/>
      </w:r>
      <w:r>
        <w:instrText xml:space="preserve"> HYPERLINK \l "_Toc164421248" </w:instrText>
      </w:r>
      <w:r>
        <w:fldChar w:fldCharType="separate"/>
      </w:r>
      <w:r>
        <w:rPr>
          <w:rStyle w:val="30"/>
          <w:rFonts w:hAnsi="宋体"/>
        </w:rPr>
        <w:t>3.3</w:t>
      </w:r>
      <w:r>
        <w:rPr>
          <w:rFonts w:hAnsi="宋体"/>
        </w:rPr>
        <w:tab/>
      </w:r>
      <w:r>
        <w:rPr>
          <w:rFonts w:hAnsi="宋体"/>
        </w:rPr>
        <w:fldChar w:fldCharType="begin" w:fldLock="1"/>
      </w:r>
      <w:r>
        <w:rPr>
          <w:rFonts w:hAnsi="宋体"/>
        </w:rPr>
        <w:instrText xml:space="preserve"> PAGEREF _Toc164421248 \h </w:instrText>
      </w:r>
      <w:r>
        <w:rPr>
          <w:rFonts w:hAnsi="宋体"/>
        </w:rPr>
        <w:fldChar w:fldCharType="separate"/>
      </w:r>
      <w:r>
        <w:rPr>
          <w:rFonts w:hAnsi="宋体"/>
        </w:rPr>
        <w:t>3</w:t>
      </w:r>
      <w:r>
        <w:rPr>
          <w:rFonts w:hAnsi="宋体"/>
        </w:rPr>
        <w:fldChar w:fldCharType="end"/>
      </w:r>
      <w:r>
        <w:rPr>
          <w:rFonts w:hAnsi="宋体"/>
        </w:rPr>
        <w:fldChar w:fldCharType="end"/>
      </w:r>
    </w:p>
    <w:p w14:paraId="77B56BE3">
      <w:pPr>
        <w:pStyle w:val="11"/>
        <w:ind w:firstLine="210"/>
        <w:rPr>
          <w:rFonts w:hAnsi="宋体" w:cstheme="minorBidi"/>
          <w:szCs w:val="22"/>
        </w:rPr>
      </w:pPr>
      <w:r>
        <w:fldChar w:fldCharType="begin"/>
      </w:r>
      <w:r>
        <w:instrText xml:space="preserve"> HYPERLINK \l "_Toc164421249" </w:instrText>
      </w:r>
      <w:r>
        <w:fldChar w:fldCharType="separate"/>
      </w:r>
      <w:r>
        <w:rPr>
          <w:rStyle w:val="30"/>
          <w:rFonts w:hAnsi="宋体"/>
        </w:rPr>
        <w:t>3.4</w:t>
      </w:r>
      <w:r>
        <w:rPr>
          <w:rFonts w:hAnsi="宋体"/>
        </w:rPr>
        <w:tab/>
      </w:r>
      <w:r>
        <w:rPr>
          <w:rFonts w:hAnsi="宋体"/>
        </w:rPr>
        <w:fldChar w:fldCharType="begin" w:fldLock="1"/>
      </w:r>
      <w:r>
        <w:rPr>
          <w:rFonts w:hAnsi="宋体"/>
        </w:rPr>
        <w:instrText xml:space="preserve"> PAGEREF _Toc164421249 \h </w:instrText>
      </w:r>
      <w:r>
        <w:rPr>
          <w:rFonts w:hAnsi="宋体"/>
        </w:rPr>
        <w:fldChar w:fldCharType="separate"/>
      </w:r>
      <w:r>
        <w:rPr>
          <w:rFonts w:hAnsi="宋体"/>
        </w:rPr>
        <w:t>3</w:t>
      </w:r>
      <w:r>
        <w:rPr>
          <w:rFonts w:hAnsi="宋体"/>
        </w:rPr>
        <w:fldChar w:fldCharType="end"/>
      </w:r>
      <w:r>
        <w:rPr>
          <w:rFonts w:hAnsi="宋体"/>
        </w:rPr>
        <w:fldChar w:fldCharType="end"/>
      </w:r>
    </w:p>
    <w:p w14:paraId="05F8D895">
      <w:pPr>
        <w:pStyle w:val="11"/>
        <w:ind w:firstLine="210"/>
        <w:rPr>
          <w:rFonts w:hAnsi="宋体" w:cstheme="minorBidi"/>
          <w:szCs w:val="22"/>
        </w:rPr>
      </w:pPr>
      <w:r>
        <w:fldChar w:fldCharType="begin"/>
      </w:r>
      <w:r>
        <w:instrText xml:space="preserve"> HYPERLINK \l "_Toc164421250" </w:instrText>
      </w:r>
      <w:r>
        <w:fldChar w:fldCharType="separate"/>
      </w:r>
      <w:r>
        <w:rPr>
          <w:rStyle w:val="30"/>
          <w:rFonts w:hAnsi="宋体"/>
        </w:rPr>
        <w:t>3.5</w:t>
      </w:r>
      <w:r>
        <w:rPr>
          <w:rFonts w:hAnsi="宋体"/>
        </w:rPr>
        <w:tab/>
      </w:r>
      <w:r>
        <w:rPr>
          <w:rFonts w:hAnsi="宋体"/>
        </w:rPr>
        <w:fldChar w:fldCharType="begin" w:fldLock="1"/>
      </w:r>
      <w:r>
        <w:rPr>
          <w:rFonts w:hAnsi="宋体"/>
        </w:rPr>
        <w:instrText xml:space="preserve"> PAGEREF _Toc164421250 \h </w:instrText>
      </w:r>
      <w:r>
        <w:rPr>
          <w:rFonts w:hAnsi="宋体"/>
        </w:rPr>
        <w:fldChar w:fldCharType="separate"/>
      </w:r>
      <w:r>
        <w:rPr>
          <w:rFonts w:hAnsi="宋体"/>
        </w:rPr>
        <w:t>3</w:t>
      </w:r>
      <w:r>
        <w:rPr>
          <w:rFonts w:hAnsi="宋体"/>
        </w:rPr>
        <w:fldChar w:fldCharType="end"/>
      </w:r>
      <w:r>
        <w:rPr>
          <w:rFonts w:hAnsi="宋体"/>
        </w:rPr>
        <w:fldChar w:fldCharType="end"/>
      </w:r>
    </w:p>
    <w:p w14:paraId="36997C02">
      <w:pPr>
        <w:pStyle w:val="11"/>
        <w:ind w:firstLine="210"/>
        <w:rPr>
          <w:rFonts w:hAnsi="宋体" w:cstheme="minorBidi"/>
          <w:szCs w:val="22"/>
        </w:rPr>
      </w:pPr>
      <w:r>
        <w:fldChar w:fldCharType="begin"/>
      </w:r>
      <w:r>
        <w:instrText xml:space="preserve"> HYPERLINK \l "_Toc164421251" </w:instrText>
      </w:r>
      <w:r>
        <w:fldChar w:fldCharType="separate"/>
      </w:r>
      <w:r>
        <w:rPr>
          <w:rStyle w:val="30"/>
          <w:rFonts w:hAnsi="宋体"/>
        </w:rPr>
        <w:t>3.6</w:t>
      </w:r>
      <w:r>
        <w:rPr>
          <w:rFonts w:hAnsi="宋体"/>
        </w:rPr>
        <w:tab/>
      </w:r>
      <w:r>
        <w:rPr>
          <w:rFonts w:hAnsi="宋体"/>
        </w:rPr>
        <w:fldChar w:fldCharType="begin" w:fldLock="1"/>
      </w:r>
      <w:r>
        <w:rPr>
          <w:rFonts w:hAnsi="宋体"/>
        </w:rPr>
        <w:instrText xml:space="preserve"> PAGEREF _Toc164421251 \h </w:instrText>
      </w:r>
      <w:r>
        <w:rPr>
          <w:rFonts w:hAnsi="宋体"/>
        </w:rPr>
        <w:fldChar w:fldCharType="separate"/>
      </w:r>
      <w:r>
        <w:rPr>
          <w:rFonts w:hAnsi="宋体"/>
        </w:rPr>
        <w:t>3</w:t>
      </w:r>
      <w:r>
        <w:rPr>
          <w:rFonts w:hAnsi="宋体"/>
        </w:rPr>
        <w:fldChar w:fldCharType="end"/>
      </w:r>
      <w:r>
        <w:rPr>
          <w:rFonts w:hAnsi="宋体"/>
        </w:rPr>
        <w:fldChar w:fldCharType="end"/>
      </w:r>
    </w:p>
    <w:p w14:paraId="39373530">
      <w:pPr>
        <w:pStyle w:val="11"/>
        <w:ind w:firstLine="210"/>
        <w:rPr>
          <w:rFonts w:hAnsi="宋体" w:cstheme="minorBidi"/>
          <w:szCs w:val="22"/>
        </w:rPr>
      </w:pPr>
      <w:r>
        <w:fldChar w:fldCharType="begin"/>
      </w:r>
      <w:r>
        <w:instrText xml:space="preserve"> HYPERLINK \l "_Toc164421252" </w:instrText>
      </w:r>
      <w:r>
        <w:fldChar w:fldCharType="separate"/>
      </w:r>
      <w:r>
        <w:rPr>
          <w:rStyle w:val="30"/>
          <w:rFonts w:hAnsi="宋体"/>
        </w:rPr>
        <w:t>3.7</w:t>
      </w:r>
      <w:r>
        <w:rPr>
          <w:rFonts w:hAnsi="宋体"/>
        </w:rPr>
        <w:tab/>
      </w:r>
      <w:r>
        <w:rPr>
          <w:rFonts w:hAnsi="宋体"/>
        </w:rPr>
        <w:fldChar w:fldCharType="begin" w:fldLock="1"/>
      </w:r>
      <w:r>
        <w:rPr>
          <w:rFonts w:hAnsi="宋体"/>
        </w:rPr>
        <w:instrText xml:space="preserve"> PAGEREF _Toc164421252 \h </w:instrText>
      </w:r>
      <w:r>
        <w:rPr>
          <w:rFonts w:hAnsi="宋体"/>
        </w:rPr>
        <w:fldChar w:fldCharType="separate"/>
      </w:r>
      <w:r>
        <w:rPr>
          <w:rFonts w:hAnsi="宋体"/>
        </w:rPr>
        <w:t>4</w:t>
      </w:r>
      <w:r>
        <w:rPr>
          <w:rFonts w:hAnsi="宋体"/>
        </w:rPr>
        <w:fldChar w:fldCharType="end"/>
      </w:r>
      <w:r>
        <w:rPr>
          <w:rFonts w:hAnsi="宋体"/>
        </w:rPr>
        <w:fldChar w:fldCharType="end"/>
      </w:r>
    </w:p>
    <w:p w14:paraId="160051D3">
      <w:pPr>
        <w:pStyle w:val="20"/>
        <w:rPr>
          <w:rFonts w:ascii="宋体" w:hAnsi="宋体" w:eastAsia="宋体"/>
        </w:rPr>
      </w:pPr>
      <w:r>
        <w:fldChar w:fldCharType="begin"/>
      </w:r>
      <w:r>
        <w:instrText xml:space="preserve"> HYPERLINK \l "_Toc164421253" </w:instrText>
      </w:r>
      <w:r>
        <w:fldChar w:fldCharType="separate"/>
      </w:r>
      <w:r>
        <w:rPr>
          <w:rStyle w:val="30"/>
          <w:rFonts w:ascii="宋体" w:hAnsi="宋体" w:eastAsia="宋体"/>
        </w:rPr>
        <w:t>4 缩略语</w:t>
      </w:r>
      <w:r>
        <w:rPr>
          <w:rFonts w:ascii="宋体" w:hAnsi="宋体" w:eastAsia="宋体"/>
        </w:rPr>
        <w:tab/>
      </w:r>
      <w:r>
        <w:rPr>
          <w:rFonts w:ascii="宋体" w:hAnsi="宋体" w:eastAsia="宋体"/>
        </w:rPr>
        <w:fldChar w:fldCharType="begin" w:fldLock="1"/>
      </w:r>
      <w:r>
        <w:rPr>
          <w:rFonts w:ascii="宋体" w:hAnsi="宋体" w:eastAsia="宋体"/>
        </w:rPr>
        <w:instrText xml:space="preserve"> PAGEREF _Toc164421253 \h </w:instrText>
      </w:r>
      <w:r>
        <w:rPr>
          <w:rFonts w:ascii="宋体" w:hAnsi="宋体" w:eastAsia="宋体"/>
        </w:rPr>
        <w:fldChar w:fldCharType="separate"/>
      </w:r>
      <w:r>
        <w:rPr>
          <w:rFonts w:ascii="宋体" w:hAnsi="宋体" w:eastAsia="宋体"/>
        </w:rPr>
        <w:t>4</w:t>
      </w:r>
      <w:r>
        <w:rPr>
          <w:rFonts w:ascii="宋体" w:hAnsi="宋体" w:eastAsia="宋体"/>
        </w:rPr>
        <w:fldChar w:fldCharType="end"/>
      </w:r>
      <w:r>
        <w:rPr>
          <w:rFonts w:ascii="宋体" w:hAnsi="宋体" w:eastAsia="宋体"/>
        </w:rPr>
        <w:fldChar w:fldCharType="end"/>
      </w:r>
    </w:p>
    <w:p w14:paraId="254FC7E6">
      <w:pPr>
        <w:pStyle w:val="20"/>
        <w:rPr>
          <w:rFonts w:ascii="宋体" w:hAnsi="宋体" w:eastAsia="宋体"/>
        </w:rPr>
      </w:pPr>
      <w:r>
        <w:fldChar w:fldCharType="begin"/>
      </w:r>
      <w:r>
        <w:instrText xml:space="preserve"> HYPERLINK \l "_Toc164421254" </w:instrText>
      </w:r>
      <w:r>
        <w:fldChar w:fldCharType="separate"/>
      </w:r>
      <w:r>
        <w:rPr>
          <w:rStyle w:val="30"/>
          <w:rFonts w:ascii="宋体" w:hAnsi="宋体" w:eastAsia="宋体"/>
        </w:rPr>
        <w:t>5 技术要求</w:t>
      </w:r>
      <w:r>
        <w:rPr>
          <w:rFonts w:ascii="宋体" w:hAnsi="宋体" w:eastAsia="宋体"/>
        </w:rPr>
        <w:tab/>
      </w:r>
      <w:r>
        <w:rPr>
          <w:rFonts w:ascii="宋体" w:hAnsi="宋体" w:eastAsia="宋体"/>
        </w:rPr>
        <w:fldChar w:fldCharType="begin" w:fldLock="1"/>
      </w:r>
      <w:r>
        <w:rPr>
          <w:rFonts w:ascii="宋体" w:hAnsi="宋体" w:eastAsia="宋体"/>
        </w:rPr>
        <w:instrText xml:space="preserve"> PAGEREF _Toc164421254 \h </w:instrText>
      </w:r>
      <w:r>
        <w:rPr>
          <w:rFonts w:ascii="宋体" w:hAnsi="宋体" w:eastAsia="宋体"/>
        </w:rPr>
        <w:fldChar w:fldCharType="separate"/>
      </w:r>
      <w:r>
        <w:rPr>
          <w:rFonts w:ascii="宋体" w:hAnsi="宋体" w:eastAsia="宋体"/>
        </w:rPr>
        <w:t>4</w:t>
      </w:r>
      <w:r>
        <w:rPr>
          <w:rFonts w:ascii="宋体" w:hAnsi="宋体" w:eastAsia="宋体"/>
        </w:rPr>
        <w:fldChar w:fldCharType="end"/>
      </w:r>
      <w:r>
        <w:rPr>
          <w:rFonts w:ascii="宋体" w:hAnsi="宋体" w:eastAsia="宋体"/>
        </w:rPr>
        <w:fldChar w:fldCharType="end"/>
      </w:r>
    </w:p>
    <w:p w14:paraId="00B47788">
      <w:pPr>
        <w:pStyle w:val="11"/>
        <w:ind w:firstLine="210"/>
        <w:rPr>
          <w:rFonts w:hAnsi="宋体" w:cstheme="minorBidi"/>
          <w:szCs w:val="22"/>
        </w:rPr>
      </w:pPr>
      <w:r>
        <w:fldChar w:fldCharType="begin"/>
      </w:r>
      <w:r>
        <w:instrText xml:space="preserve"> HYPERLINK \l "_Toc164421255" </w:instrText>
      </w:r>
      <w:r>
        <w:fldChar w:fldCharType="separate"/>
      </w:r>
      <w:r>
        <w:rPr>
          <w:rStyle w:val="30"/>
          <w:rFonts w:hAnsi="宋体"/>
        </w:rPr>
        <w:t>5.1 环境条件</w:t>
      </w:r>
      <w:r>
        <w:rPr>
          <w:rFonts w:hAnsi="宋体"/>
        </w:rPr>
        <w:tab/>
      </w:r>
      <w:r>
        <w:rPr>
          <w:rFonts w:hAnsi="宋体"/>
        </w:rPr>
        <w:fldChar w:fldCharType="begin" w:fldLock="1"/>
      </w:r>
      <w:r>
        <w:rPr>
          <w:rFonts w:hAnsi="宋体"/>
        </w:rPr>
        <w:instrText xml:space="preserve"> PAGEREF _Toc164421255 \h </w:instrText>
      </w:r>
      <w:r>
        <w:rPr>
          <w:rFonts w:hAnsi="宋体"/>
        </w:rPr>
        <w:fldChar w:fldCharType="separate"/>
      </w:r>
      <w:r>
        <w:rPr>
          <w:rFonts w:hAnsi="宋体"/>
        </w:rPr>
        <w:t>4</w:t>
      </w:r>
      <w:r>
        <w:rPr>
          <w:rFonts w:hAnsi="宋体"/>
        </w:rPr>
        <w:fldChar w:fldCharType="end"/>
      </w:r>
      <w:r>
        <w:rPr>
          <w:rFonts w:hAnsi="宋体"/>
        </w:rPr>
        <w:fldChar w:fldCharType="end"/>
      </w:r>
    </w:p>
    <w:p w14:paraId="265A5FFE">
      <w:pPr>
        <w:pStyle w:val="11"/>
        <w:ind w:firstLine="210"/>
        <w:rPr>
          <w:rFonts w:hAnsi="宋体" w:cstheme="minorBidi"/>
          <w:szCs w:val="22"/>
        </w:rPr>
      </w:pPr>
      <w:r>
        <w:fldChar w:fldCharType="begin"/>
      </w:r>
      <w:r>
        <w:instrText xml:space="preserve"> HYPERLINK \l "_Toc164421256" </w:instrText>
      </w:r>
      <w:r>
        <w:fldChar w:fldCharType="separate"/>
      </w:r>
      <w:r>
        <w:rPr>
          <w:rStyle w:val="30"/>
          <w:rFonts w:hAnsi="宋体"/>
        </w:rPr>
        <w:t>5.2 电源</w:t>
      </w:r>
      <w:r>
        <w:rPr>
          <w:rFonts w:hAnsi="宋体"/>
        </w:rPr>
        <w:tab/>
      </w:r>
      <w:r>
        <w:rPr>
          <w:rFonts w:hAnsi="宋体"/>
        </w:rPr>
        <w:fldChar w:fldCharType="begin" w:fldLock="1"/>
      </w:r>
      <w:r>
        <w:rPr>
          <w:rFonts w:hAnsi="宋体"/>
        </w:rPr>
        <w:instrText xml:space="preserve"> PAGEREF _Toc164421256 \h </w:instrText>
      </w:r>
      <w:r>
        <w:rPr>
          <w:rFonts w:hAnsi="宋体"/>
        </w:rPr>
        <w:fldChar w:fldCharType="separate"/>
      </w:r>
      <w:r>
        <w:rPr>
          <w:rFonts w:hAnsi="宋体"/>
        </w:rPr>
        <w:t>5</w:t>
      </w:r>
      <w:r>
        <w:rPr>
          <w:rFonts w:hAnsi="宋体"/>
        </w:rPr>
        <w:fldChar w:fldCharType="end"/>
      </w:r>
      <w:r>
        <w:rPr>
          <w:rFonts w:hAnsi="宋体"/>
        </w:rPr>
        <w:fldChar w:fldCharType="end"/>
      </w:r>
    </w:p>
    <w:p w14:paraId="742166F7">
      <w:pPr>
        <w:pStyle w:val="11"/>
        <w:ind w:firstLine="210"/>
        <w:rPr>
          <w:rFonts w:hAnsi="宋体" w:cstheme="minorBidi"/>
          <w:szCs w:val="22"/>
        </w:rPr>
      </w:pPr>
      <w:r>
        <w:fldChar w:fldCharType="begin"/>
      </w:r>
      <w:r>
        <w:instrText xml:space="preserve"> HYPERLINK \l "_Toc164421257" </w:instrText>
      </w:r>
      <w:r>
        <w:fldChar w:fldCharType="separate"/>
      </w:r>
      <w:r>
        <w:rPr>
          <w:rStyle w:val="30"/>
          <w:rFonts w:hAnsi="宋体"/>
        </w:rPr>
        <w:t>5.3 机械要求</w:t>
      </w:r>
      <w:r>
        <w:rPr>
          <w:rFonts w:hAnsi="宋体"/>
        </w:rPr>
        <w:tab/>
      </w:r>
      <w:r>
        <w:rPr>
          <w:rFonts w:hAnsi="宋体"/>
        </w:rPr>
        <w:fldChar w:fldCharType="begin" w:fldLock="1"/>
      </w:r>
      <w:r>
        <w:rPr>
          <w:rFonts w:hAnsi="宋体"/>
        </w:rPr>
        <w:instrText xml:space="preserve"> PAGEREF _Toc164421257 \h </w:instrText>
      </w:r>
      <w:r>
        <w:rPr>
          <w:rFonts w:hAnsi="宋体"/>
        </w:rPr>
        <w:fldChar w:fldCharType="separate"/>
      </w:r>
      <w:r>
        <w:rPr>
          <w:rFonts w:hAnsi="宋体"/>
        </w:rPr>
        <w:t>5</w:t>
      </w:r>
      <w:r>
        <w:rPr>
          <w:rFonts w:hAnsi="宋体"/>
        </w:rPr>
        <w:fldChar w:fldCharType="end"/>
      </w:r>
      <w:r>
        <w:rPr>
          <w:rFonts w:hAnsi="宋体"/>
        </w:rPr>
        <w:fldChar w:fldCharType="end"/>
      </w:r>
    </w:p>
    <w:p w14:paraId="40781950">
      <w:pPr>
        <w:pStyle w:val="11"/>
        <w:ind w:firstLine="210"/>
        <w:rPr>
          <w:rFonts w:hAnsi="宋体" w:cstheme="minorBidi"/>
          <w:szCs w:val="22"/>
        </w:rPr>
      </w:pPr>
      <w:r>
        <w:fldChar w:fldCharType="begin"/>
      </w:r>
      <w:r>
        <w:instrText xml:space="preserve"> HYPERLINK \l "_Toc164421258" </w:instrText>
      </w:r>
      <w:r>
        <w:fldChar w:fldCharType="separate"/>
      </w:r>
      <w:r>
        <w:rPr>
          <w:rStyle w:val="30"/>
          <w:rFonts w:hAnsi="宋体"/>
        </w:rPr>
        <w:t>5.4 电气要求</w:t>
      </w:r>
      <w:r>
        <w:rPr>
          <w:rFonts w:hAnsi="宋体"/>
        </w:rPr>
        <w:tab/>
      </w:r>
      <w:r>
        <w:rPr>
          <w:rFonts w:hAnsi="宋体"/>
        </w:rPr>
        <w:fldChar w:fldCharType="begin" w:fldLock="1"/>
      </w:r>
      <w:r>
        <w:rPr>
          <w:rFonts w:hAnsi="宋体"/>
        </w:rPr>
        <w:instrText xml:space="preserve"> PAGEREF _Toc164421258 \h </w:instrText>
      </w:r>
      <w:r>
        <w:rPr>
          <w:rFonts w:hAnsi="宋体"/>
        </w:rPr>
        <w:fldChar w:fldCharType="separate"/>
      </w:r>
      <w:r>
        <w:rPr>
          <w:rFonts w:hAnsi="宋体"/>
        </w:rPr>
        <w:t>5</w:t>
      </w:r>
      <w:r>
        <w:rPr>
          <w:rFonts w:hAnsi="宋体"/>
        </w:rPr>
        <w:fldChar w:fldCharType="end"/>
      </w:r>
      <w:r>
        <w:rPr>
          <w:rFonts w:hAnsi="宋体"/>
        </w:rPr>
        <w:fldChar w:fldCharType="end"/>
      </w:r>
    </w:p>
    <w:p w14:paraId="5A6FF2CB">
      <w:pPr>
        <w:pStyle w:val="11"/>
        <w:ind w:firstLine="210"/>
        <w:rPr>
          <w:rFonts w:hAnsi="宋体" w:cstheme="minorBidi"/>
          <w:szCs w:val="22"/>
        </w:rPr>
      </w:pPr>
      <w:r>
        <w:fldChar w:fldCharType="begin"/>
      </w:r>
      <w:r>
        <w:instrText xml:space="preserve"> HYPERLINK \l "_Toc164421259" </w:instrText>
      </w:r>
      <w:r>
        <w:fldChar w:fldCharType="separate"/>
      </w:r>
      <w:r>
        <w:rPr>
          <w:rStyle w:val="30"/>
          <w:rFonts w:hAnsi="宋体"/>
        </w:rPr>
        <w:t>5.5 电磁兼容性</w:t>
      </w:r>
      <w:r>
        <w:rPr>
          <w:rFonts w:hAnsi="宋体"/>
        </w:rPr>
        <w:tab/>
      </w:r>
      <w:r>
        <w:rPr>
          <w:rFonts w:hAnsi="宋体"/>
        </w:rPr>
        <w:fldChar w:fldCharType="begin" w:fldLock="1"/>
      </w:r>
      <w:r>
        <w:rPr>
          <w:rFonts w:hAnsi="宋体"/>
        </w:rPr>
        <w:instrText xml:space="preserve"> PAGEREF _Toc164421259 \h </w:instrText>
      </w:r>
      <w:r>
        <w:rPr>
          <w:rFonts w:hAnsi="宋体"/>
        </w:rPr>
        <w:fldChar w:fldCharType="separate"/>
      </w:r>
      <w:r>
        <w:rPr>
          <w:rFonts w:hAnsi="宋体"/>
        </w:rPr>
        <w:t>5</w:t>
      </w:r>
      <w:r>
        <w:rPr>
          <w:rFonts w:hAnsi="宋体"/>
        </w:rPr>
        <w:fldChar w:fldCharType="end"/>
      </w:r>
      <w:r>
        <w:rPr>
          <w:rFonts w:hAnsi="宋体"/>
        </w:rPr>
        <w:fldChar w:fldCharType="end"/>
      </w:r>
    </w:p>
    <w:p w14:paraId="13C242B2">
      <w:pPr>
        <w:pStyle w:val="11"/>
        <w:ind w:firstLine="210"/>
        <w:rPr>
          <w:rFonts w:hAnsi="宋体" w:cstheme="minorBidi"/>
          <w:szCs w:val="22"/>
        </w:rPr>
      </w:pPr>
      <w:r>
        <w:fldChar w:fldCharType="begin"/>
      </w:r>
      <w:r>
        <w:instrText xml:space="preserve"> HYPERLINK \l "_Toc164421260" </w:instrText>
      </w:r>
      <w:r>
        <w:fldChar w:fldCharType="separate"/>
      </w:r>
      <w:r>
        <w:rPr>
          <w:rStyle w:val="30"/>
          <w:rFonts w:hAnsi="宋体"/>
        </w:rPr>
        <w:t>5.6 定位性能</w:t>
      </w:r>
      <w:r>
        <w:rPr>
          <w:rFonts w:hAnsi="宋体"/>
        </w:rPr>
        <w:tab/>
      </w:r>
      <w:r>
        <w:rPr>
          <w:rFonts w:hAnsi="宋体"/>
        </w:rPr>
        <w:fldChar w:fldCharType="begin" w:fldLock="1"/>
      </w:r>
      <w:r>
        <w:rPr>
          <w:rFonts w:hAnsi="宋体"/>
        </w:rPr>
        <w:instrText xml:space="preserve"> PAGEREF _Toc164421260 \h </w:instrText>
      </w:r>
      <w:r>
        <w:rPr>
          <w:rFonts w:hAnsi="宋体"/>
        </w:rPr>
        <w:fldChar w:fldCharType="separate"/>
      </w:r>
      <w:r>
        <w:rPr>
          <w:rFonts w:hAnsi="宋体"/>
        </w:rPr>
        <w:t>6</w:t>
      </w:r>
      <w:r>
        <w:rPr>
          <w:rFonts w:hAnsi="宋体"/>
        </w:rPr>
        <w:fldChar w:fldCharType="end"/>
      </w:r>
      <w:r>
        <w:rPr>
          <w:rFonts w:hAnsi="宋体"/>
        </w:rPr>
        <w:fldChar w:fldCharType="end"/>
      </w:r>
    </w:p>
    <w:p w14:paraId="1E855E30">
      <w:pPr>
        <w:pStyle w:val="11"/>
        <w:ind w:firstLine="210"/>
        <w:rPr>
          <w:rFonts w:hAnsi="宋体" w:cstheme="minorBidi"/>
          <w:szCs w:val="22"/>
        </w:rPr>
      </w:pPr>
      <w:r>
        <w:fldChar w:fldCharType="begin"/>
      </w:r>
      <w:r>
        <w:instrText xml:space="preserve"> HYPERLINK \l "_Toc164421261" </w:instrText>
      </w:r>
      <w:r>
        <w:fldChar w:fldCharType="separate"/>
      </w:r>
      <w:r>
        <w:rPr>
          <w:rStyle w:val="30"/>
          <w:rFonts w:hAnsi="宋体"/>
        </w:rPr>
        <w:t>5.7 数据接口</w:t>
      </w:r>
      <w:r>
        <w:rPr>
          <w:rFonts w:hAnsi="宋体"/>
        </w:rPr>
        <w:tab/>
      </w:r>
      <w:r>
        <w:rPr>
          <w:rFonts w:hAnsi="宋体"/>
        </w:rPr>
        <w:fldChar w:fldCharType="begin" w:fldLock="1"/>
      </w:r>
      <w:r>
        <w:rPr>
          <w:rFonts w:hAnsi="宋体"/>
        </w:rPr>
        <w:instrText xml:space="preserve"> PAGEREF _Toc164421261 \h </w:instrText>
      </w:r>
      <w:r>
        <w:rPr>
          <w:rFonts w:hAnsi="宋体"/>
        </w:rPr>
        <w:fldChar w:fldCharType="separate"/>
      </w:r>
      <w:r>
        <w:rPr>
          <w:rFonts w:hAnsi="宋体"/>
        </w:rPr>
        <w:t>7</w:t>
      </w:r>
      <w:r>
        <w:rPr>
          <w:rFonts w:hAnsi="宋体"/>
        </w:rPr>
        <w:fldChar w:fldCharType="end"/>
      </w:r>
      <w:r>
        <w:rPr>
          <w:rFonts w:hAnsi="宋体"/>
        </w:rPr>
        <w:fldChar w:fldCharType="end"/>
      </w:r>
    </w:p>
    <w:p w14:paraId="7D7B21C3">
      <w:pPr>
        <w:pStyle w:val="11"/>
        <w:ind w:firstLine="210"/>
        <w:rPr>
          <w:rFonts w:hAnsi="宋体" w:cstheme="minorBidi"/>
          <w:szCs w:val="22"/>
        </w:rPr>
      </w:pPr>
      <w:r>
        <w:fldChar w:fldCharType="begin"/>
      </w:r>
      <w:r>
        <w:instrText xml:space="preserve"> HYPERLINK \l "_Toc164421262" </w:instrText>
      </w:r>
      <w:r>
        <w:fldChar w:fldCharType="separate"/>
      </w:r>
      <w:r>
        <w:rPr>
          <w:rStyle w:val="30"/>
          <w:rFonts w:hAnsi="宋体"/>
        </w:rPr>
        <w:t>5.8 通信性能</w:t>
      </w:r>
      <w:r>
        <w:rPr>
          <w:rFonts w:hAnsi="宋体"/>
        </w:rPr>
        <w:tab/>
      </w:r>
      <w:r>
        <w:rPr>
          <w:rFonts w:hAnsi="宋体"/>
        </w:rPr>
        <w:fldChar w:fldCharType="begin" w:fldLock="1"/>
      </w:r>
      <w:r>
        <w:rPr>
          <w:rFonts w:hAnsi="宋体"/>
        </w:rPr>
        <w:instrText xml:space="preserve"> PAGEREF _Toc164421262 \h </w:instrText>
      </w:r>
      <w:r>
        <w:rPr>
          <w:rFonts w:hAnsi="宋体"/>
        </w:rPr>
        <w:fldChar w:fldCharType="separate"/>
      </w:r>
      <w:r>
        <w:rPr>
          <w:rFonts w:hAnsi="宋体"/>
        </w:rPr>
        <w:t>7</w:t>
      </w:r>
      <w:r>
        <w:rPr>
          <w:rFonts w:hAnsi="宋体"/>
        </w:rPr>
        <w:fldChar w:fldCharType="end"/>
      </w:r>
      <w:r>
        <w:rPr>
          <w:rFonts w:hAnsi="宋体"/>
        </w:rPr>
        <w:fldChar w:fldCharType="end"/>
      </w:r>
    </w:p>
    <w:p w14:paraId="77CB3D3B">
      <w:pPr>
        <w:pStyle w:val="11"/>
        <w:ind w:firstLine="210"/>
        <w:rPr>
          <w:rFonts w:hAnsi="宋体" w:cstheme="minorBidi"/>
          <w:szCs w:val="22"/>
        </w:rPr>
      </w:pPr>
      <w:r>
        <w:fldChar w:fldCharType="begin"/>
      </w:r>
      <w:r>
        <w:instrText xml:space="preserve"> HYPERLINK \l "_Toc164421263" </w:instrText>
      </w:r>
      <w:r>
        <w:fldChar w:fldCharType="separate"/>
      </w:r>
      <w:r>
        <w:rPr>
          <w:rStyle w:val="30"/>
          <w:rFonts w:hAnsi="宋体"/>
        </w:rPr>
        <w:t>5.9 功能要求</w:t>
      </w:r>
      <w:r>
        <w:rPr>
          <w:rFonts w:hAnsi="宋体"/>
        </w:rPr>
        <w:tab/>
      </w:r>
      <w:r>
        <w:rPr>
          <w:rFonts w:hAnsi="宋体"/>
        </w:rPr>
        <w:fldChar w:fldCharType="begin" w:fldLock="1"/>
      </w:r>
      <w:r>
        <w:rPr>
          <w:rFonts w:hAnsi="宋体"/>
        </w:rPr>
        <w:instrText xml:space="preserve"> PAGEREF _Toc164421263 \h </w:instrText>
      </w:r>
      <w:r>
        <w:rPr>
          <w:rFonts w:hAnsi="宋体"/>
        </w:rPr>
        <w:fldChar w:fldCharType="separate"/>
      </w:r>
      <w:r>
        <w:rPr>
          <w:rFonts w:hAnsi="宋体"/>
        </w:rPr>
        <w:t>8</w:t>
      </w:r>
      <w:r>
        <w:rPr>
          <w:rFonts w:hAnsi="宋体"/>
        </w:rPr>
        <w:fldChar w:fldCharType="end"/>
      </w:r>
      <w:r>
        <w:rPr>
          <w:rFonts w:hAnsi="宋体"/>
        </w:rPr>
        <w:fldChar w:fldCharType="end"/>
      </w:r>
    </w:p>
    <w:p w14:paraId="4AF90954">
      <w:pPr>
        <w:pStyle w:val="20"/>
        <w:rPr>
          <w:rFonts w:ascii="宋体" w:hAnsi="宋体" w:eastAsia="宋体"/>
        </w:rPr>
      </w:pPr>
      <w:r>
        <w:fldChar w:fldCharType="begin"/>
      </w:r>
      <w:r>
        <w:instrText xml:space="preserve"> HYPERLINK \l "_Toc164421264" </w:instrText>
      </w:r>
      <w:r>
        <w:fldChar w:fldCharType="separate"/>
      </w:r>
      <w:r>
        <w:rPr>
          <w:rStyle w:val="30"/>
          <w:rFonts w:ascii="宋体" w:hAnsi="宋体" w:eastAsia="宋体"/>
        </w:rPr>
        <w:t>6 试验方法</w:t>
      </w:r>
      <w:r>
        <w:rPr>
          <w:rFonts w:ascii="宋体" w:hAnsi="宋体" w:eastAsia="宋体"/>
        </w:rPr>
        <w:tab/>
      </w:r>
      <w:r>
        <w:rPr>
          <w:rFonts w:ascii="宋体" w:hAnsi="宋体" w:eastAsia="宋体"/>
        </w:rPr>
        <w:fldChar w:fldCharType="begin" w:fldLock="1"/>
      </w:r>
      <w:r>
        <w:rPr>
          <w:rFonts w:ascii="宋体" w:hAnsi="宋体" w:eastAsia="宋体"/>
        </w:rPr>
        <w:instrText xml:space="preserve"> PAGEREF _Toc164421264 \h </w:instrText>
      </w:r>
      <w:r>
        <w:rPr>
          <w:rFonts w:ascii="宋体" w:hAnsi="宋体" w:eastAsia="宋体"/>
        </w:rPr>
        <w:fldChar w:fldCharType="separate"/>
      </w:r>
      <w:r>
        <w:rPr>
          <w:rFonts w:ascii="宋体" w:hAnsi="宋体" w:eastAsia="宋体"/>
        </w:rPr>
        <w:t>9</w:t>
      </w:r>
      <w:r>
        <w:rPr>
          <w:rFonts w:ascii="宋体" w:hAnsi="宋体" w:eastAsia="宋体"/>
        </w:rPr>
        <w:fldChar w:fldCharType="end"/>
      </w:r>
      <w:r>
        <w:rPr>
          <w:rFonts w:ascii="宋体" w:hAnsi="宋体" w:eastAsia="宋体"/>
        </w:rPr>
        <w:fldChar w:fldCharType="end"/>
      </w:r>
    </w:p>
    <w:p w14:paraId="4EE7AFF6">
      <w:pPr>
        <w:pStyle w:val="11"/>
        <w:ind w:firstLine="210"/>
        <w:rPr>
          <w:rFonts w:hAnsi="宋体" w:cstheme="minorBidi"/>
          <w:szCs w:val="22"/>
        </w:rPr>
      </w:pPr>
      <w:r>
        <w:fldChar w:fldCharType="begin"/>
      </w:r>
      <w:r>
        <w:instrText xml:space="preserve"> HYPERLINK \l "_Toc164421265" </w:instrText>
      </w:r>
      <w:r>
        <w:fldChar w:fldCharType="separate"/>
      </w:r>
      <w:r>
        <w:rPr>
          <w:rStyle w:val="30"/>
          <w:rFonts w:hAnsi="宋体"/>
        </w:rPr>
        <w:t>6.1 试验条件</w:t>
      </w:r>
      <w:r>
        <w:rPr>
          <w:rFonts w:hAnsi="宋体"/>
        </w:rPr>
        <w:tab/>
      </w:r>
      <w:r>
        <w:rPr>
          <w:rFonts w:hAnsi="宋体"/>
        </w:rPr>
        <w:fldChar w:fldCharType="begin" w:fldLock="1"/>
      </w:r>
      <w:r>
        <w:rPr>
          <w:rFonts w:hAnsi="宋体"/>
        </w:rPr>
        <w:instrText xml:space="preserve"> PAGEREF _Toc164421265 \h </w:instrText>
      </w:r>
      <w:r>
        <w:rPr>
          <w:rFonts w:hAnsi="宋体"/>
        </w:rPr>
        <w:fldChar w:fldCharType="separate"/>
      </w:r>
      <w:r>
        <w:rPr>
          <w:rFonts w:hAnsi="宋体"/>
        </w:rPr>
        <w:t>9</w:t>
      </w:r>
      <w:r>
        <w:rPr>
          <w:rFonts w:hAnsi="宋体"/>
        </w:rPr>
        <w:fldChar w:fldCharType="end"/>
      </w:r>
      <w:r>
        <w:rPr>
          <w:rFonts w:hAnsi="宋体"/>
        </w:rPr>
        <w:fldChar w:fldCharType="end"/>
      </w:r>
    </w:p>
    <w:p w14:paraId="29563F0B">
      <w:pPr>
        <w:pStyle w:val="11"/>
        <w:ind w:firstLine="210"/>
        <w:rPr>
          <w:rFonts w:hAnsi="宋体" w:cstheme="minorBidi"/>
          <w:szCs w:val="22"/>
        </w:rPr>
      </w:pPr>
      <w:r>
        <w:fldChar w:fldCharType="begin"/>
      </w:r>
      <w:r>
        <w:instrText xml:space="preserve"> HYPERLINK \l "_Toc164421266" </w:instrText>
      </w:r>
      <w:r>
        <w:fldChar w:fldCharType="separate"/>
      </w:r>
      <w:r>
        <w:rPr>
          <w:rStyle w:val="30"/>
          <w:rFonts w:hAnsi="宋体"/>
        </w:rPr>
        <w:t>6.2 气候影响试验</w:t>
      </w:r>
      <w:r>
        <w:rPr>
          <w:rFonts w:hAnsi="宋体"/>
        </w:rPr>
        <w:tab/>
      </w:r>
      <w:r>
        <w:rPr>
          <w:rFonts w:hAnsi="宋体"/>
        </w:rPr>
        <w:fldChar w:fldCharType="begin" w:fldLock="1"/>
      </w:r>
      <w:r>
        <w:rPr>
          <w:rFonts w:hAnsi="宋体"/>
        </w:rPr>
        <w:instrText xml:space="preserve"> PAGEREF _Toc164421266 \h </w:instrText>
      </w:r>
      <w:r>
        <w:rPr>
          <w:rFonts w:hAnsi="宋体"/>
        </w:rPr>
        <w:fldChar w:fldCharType="separate"/>
      </w:r>
      <w:r>
        <w:rPr>
          <w:rFonts w:hAnsi="宋体"/>
        </w:rPr>
        <w:t>9</w:t>
      </w:r>
      <w:r>
        <w:rPr>
          <w:rFonts w:hAnsi="宋体"/>
        </w:rPr>
        <w:fldChar w:fldCharType="end"/>
      </w:r>
      <w:r>
        <w:rPr>
          <w:rFonts w:hAnsi="宋体"/>
        </w:rPr>
        <w:fldChar w:fldCharType="end"/>
      </w:r>
    </w:p>
    <w:p w14:paraId="6CBD5831">
      <w:pPr>
        <w:pStyle w:val="11"/>
        <w:ind w:firstLine="210"/>
        <w:rPr>
          <w:rFonts w:hAnsi="宋体" w:cstheme="minorBidi"/>
          <w:szCs w:val="22"/>
        </w:rPr>
      </w:pPr>
      <w:r>
        <w:fldChar w:fldCharType="begin"/>
      </w:r>
      <w:r>
        <w:instrText xml:space="preserve"> HYPERLINK \l "_Toc164421267" </w:instrText>
      </w:r>
      <w:r>
        <w:fldChar w:fldCharType="separate"/>
      </w:r>
      <w:r>
        <w:rPr>
          <w:rStyle w:val="30"/>
          <w:rFonts w:hAnsi="宋体"/>
        </w:rPr>
        <w:t>6.3 电源试验</w:t>
      </w:r>
      <w:r>
        <w:rPr>
          <w:rFonts w:hAnsi="宋体"/>
        </w:rPr>
        <w:tab/>
      </w:r>
      <w:r>
        <w:rPr>
          <w:rFonts w:hAnsi="宋体"/>
        </w:rPr>
        <w:fldChar w:fldCharType="begin" w:fldLock="1"/>
      </w:r>
      <w:r>
        <w:rPr>
          <w:rFonts w:hAnsi="宋体"/>
        </w:rPr>
        <w:instrText xml:space="preserve"> PAGEREF _Toc164421267 \h </w:instrText>
      </w:r>
      <w:r>
        <w:rPr>
          <w:rFonts w:hAnsi="宋体"/>
        </w:rPr>
        <w:fldChar w:fldCharType="separate"/>
      </w:r>
      <w:r>
        <w:rPr>
          <w:rFonts w:hAnsi="宋体"/>
        </w:rPr>
        <w:t>10</w:t>
      </w:r>
      <w:r>
        <w:rPr>
          <w:rFonts w:hAnsi="宋体"/>
        </w:rPr>
        <w:fldChar w:fldCharType="end"/>
      </w:r>
      <w:r>
        <w:rPr>
          <w:rFonts w:hAnsi="宋体"/>
        </w:rPr>
        <w:fldChar w:fldCharType="end"/>
      </w:r>
    </w:p>
    <w:p w14:paraId="36ED4FC7">
      <w:pPr>
        <w:pStyle w:val="11"/>
        <w:ind w:firstLine="210"/>
        <w:rPr>
          <w:rFonts w:hAnsi="宋体" w:cstheme="minorBidi"/>
          <w:szCs w:val="22"/>
        </w:rPr>
      </w:pPr>
      <w:r>
        <w:fldChar w:fldCharType="begin"/>
      </w:r>
      <w:r>
        <w:instrText xml:space="preserve"> HYPERLINK \l "_Toc164421268" </w:instrText>
      </w:r>
      <w:r>
        <w:fldChar w:fldCharType="separate"/>
      </w:r>
      <w:r>
        <w:rPr>
          <w:rStyle w:val="30"/>
          <w:rFonts w:hAnsi="宋体"/>
        </w:rPr>
        <w:t>6.4 机械试验</w:t>
      </w:r>
      <w:r>
        <w:rPr>
          <w:rFonts w:hAnsi="宋体"/>
        </w:rPr>
        <w:tab/>
      </w:r>
      <w:r>
        <w:rPr>
          <w:rFonts w:hAnsi="宋体"/>
        </w:rPr>
        <w:fldChar w:fldCharType="begin" w:fldLock="1"/>
      </w:r>
      <w:r>
        <w:rPr>
          <w:rFonts w:hAnsi="宋体"/>
        </w:rPr>
        <w:instrText xml:space="preserve"> PAGEREF _Toc164421268 \h </w:instrText>
      </w:r>
      <w:r>
        <w:rPr>
          <w:rFonts w:hAnsi="宋体"/>
        </w:rPr>
        <w:fldChar w:fldCharType="separate"/>
      </w:r>
      <w:r>
        <w:rPr>
          <w:rFonts w:hAnsi="宋体"/>
        </w:rPr>
        <w:t>10</w:t>
      </w:r>
      <w:r>
        <w:rPr>
          <w:rFonts w:hAnsi="宋体"/>
        </w:rPr>
        <w:fldChar w:fldCharType="end"/>
      </w:r>
      <w:r>
        <w:rPr>
          <w:rFonts w:hAnsi="宋体"/>
        </w:rPr>
        <w:fldChar w:fldCharType="end"/>
      </w:r>
    </w:p>
    <w:p w14:paraId="491A686C">
      <w:pPr>
        <w:pStyle w:val="11"/>
        <w:ind w:firstLine="210"/>
        <w:rPr>
          <w:rFonts w:hAnsi="宋体" w:cstheme="minorBidi"/>
          <w:szCs w:val="22"/>
        </w:rPr>
      </w:pPr>
      <w:r>
        <w:fldChar w:fldCharType="begin"/>
      </w:r>
      <w:r>
        <w:instrText xml:space="preserve"> HYPERLINK \l "_Toc164421269" </w:instrText>
      </w:r>
      <w:r>
        <w:fldChar w:fldCharType="separate"/>
      </w:r>
      <w:r>
        <w:rPr>
          <w:rStyle w:val="30"/>
          <w:rFonts w:hAnsi="宋体"/>
        </w:rPr>
        <w:t>6.5 电气要求试验</w:t>
      </w:r>
      <w:r>
        <w:rPr>
          <w:rFonts w:hAnsi="宋体"/>
        </w:rPr>
        <w:tab/>
      </w:r>
      <w:r>
        <w:rPr>
          <w:rFonts w:hAnsi="宋体"/>
        </w:rPr>
        <w:fldChar w:fldCharType="begin" w:fldLock="1"/>
      </w:r>
      <w:r>
        <w:rPr>
          <w:rFonts w:hAnsi="宋体"/>
        </w:rPr>
        <w:instrText xml:space="preserve"> PAGEREF _Toc164421269 \h </w:instrText>
      </w:r>
      <w:r>
        <w:rPr>
          <w:rFonts w:hAnsi="宋体"/>
        </w:rPr>
        <w:fldChar w:fldCharType="separate"/>
      </w:r>
      <w:r>
        <w:rPr>
          <w:rFonts w:hAnsi="宋体"/>
        </w:rPr>
        <w:t>10</w:t>
      </w:r>
      <w:r>
        <w:rPr>
          <w:rFonts w:hAnsi="宋体"/>
        </w:rPr>
        <w:fldChar w:fldCharType="end"/>
      </w:r>
      <w:r>
        <w:rPr>
          <w:rFonts w:hAnsi="宋体"/>
        </w:rPr>
        <w:fldChar w:fldCharType="end"/>
      </w:r>
    </w:p>
    <w:p w14:paraId="1524DCFD">
      <w:pPr>
        <w:pStyle w:val="11"/>
        <w:ind w:firstLine="210"/>
        <w:rPr>
          <w:rFonts w:hAnsi="宋体" w:cstheme="minorBidi"/>
          <w:szCs w:val="22"/>
        </w:rPr>
      </w:pPr>
      <w:r>
        <w:fldChar w:fldCharType="begin"/>
      </w:r>
      <w:r>
        <w:instrText xml:space="preserve"> HYPERLINK \l "_Toc164421270" </w:instrText>
      </w:r>
      <w:r>
        <w:fldChar w:fldCharType="separate"/>
      </w:r>
      <w:r>
        <w:rPr>
          <w:rStyle w:val="30"/>
          <w:rFonts w:hAnsi="宋体"/>
        </w:rPr>
        <w:t>6.6 电磁兼容试验</w:t>
      </w:r>
      <w:r>
        <w:rPr>
          <w:rFonts w:hAnsi="宋体"/>
        </w:rPr>
        <w:tab/>
      </w:r>
      <w:r>
        <w:rPr>
          <w:rFonts w:hAnsi="宋体"/>
        </w:rPr>
        <w:fldChar w:fldCharType="begin" w:fldLock="1"/>
      </w:r>
      <w:r>
        <w:rPr>
          <w:rFonts w:hAnsi="宋体"/>
        </w:rPr>
        <w:instrText xml:space="preserve"> PAGEREF _Toc164421270 \h </w:instrText>
      </w:r>
      <w:r>
        <w:rPr>
          <w:rFonts w:hAnsi="宋体"/>
        </w:rPr>
        <w:fldChar w:fldCharType="separate"/>
      </w:r>
      <w:r>
        <w:rPr>
          <w:rFonts w:hAnsi="宋体"/>
        </w:rPr>
        <w:t>11</w:t>
      </w:r>
      <w:r>
        <w:rPr>
          <w:rFonts w:hAnsi="宋体"/>
        </w:rPr>
        <w:fldChar w:fldCharType="end"/>
      </w:r>
      <w:r>
        <w:rPr>
          <w:rFonts w:hAnsi="宋体"/>
        </w:rPr>
        <w:fldChar w:fldCharType="end"/>
      </w:r>
    </w:p>
    <w:p w14:paraId="423EA303">
      <w:pPr>
        <w:pStyle w:val="11"/>
        <w:ind w:firstLine="210"/>
        <w:rPr>
          <w:rFonts w:hAnsi="宋体" w:cstheme="minorBidi"/>
          <w:szCs w:val="22"/>
        </w:rPr>
      </w:pPr>
      <w:r>
        <w:fldChar w:fldCharType="begin"/>
      </w:r>
      <w:r>
        <w:instrText xml:space="preserve"> HYPERLINK \l "_Toc164421271" </w:instrText>
      </w:r>
      <w:r>
        <w:fldChar w:fldCharType="separate"/>
      </w:r>
      <w:r>
        <w:rPr>
          <w:rStyle w:val="30"/>
          <w:rFonts w:hAnsi="宋体"/>
        </w:rPr>
        <w:t>6.7 定位性能试验</w:t>
      </w:r>
      <w:r>
        <w:rPr>
          <w:rFonts w:hAnsi="宋体"/>
        </w:rPr>
        <w:tab/>
      </w:r>
      <w:r>
        <w:rPr>
          <w:rFonts w:hAnsi="宋体"/>
        </w:rPr>
        <w:fldChar w:fldCharType="begin" w:fldLock="1"/>
      </w:r>
      <w:r>
        <w:rPr>
          <w:rFonts w:hAnsi="宋体"/>
        </w:rPr>
        <w:instrText xml:space="preserve"> PAGEREF _Toc164421271 \h </w:instrText>
      </w:r>
      <w:r>
        <w:rPr>
          <w:rFonts w:hAnsi="宋体"/>
        </w:rPr>
        <w:fldChar w:fldCharType="separate"/>
      </w:r>
      <w:r>
        <w:rPr>
          <w:rFonts w:hAnsi="宋体"/>
        </w:rPr>
        <w:t>13</w:t>
      </w:r>
      <w:r>
        <w:rPr>
          <w:rFonts w:hAnsi="宋体"/>
        </w:rPr>
        <w:fldChar w:fldCharType="end"/>
      </w:r>
      <w:r>
        <w:rPr>
          <w:rFonts w:hAnsi="宋体"/>
        </w:rPr>
        <w:fldChar w:fldCharType="end"/>
      </w:r>
    </w:p>
    <w:p w14:paraId="78008067">
      <w:pPr>
        <w:pStyle w:val="11"/>
        <w:ind w:firstLine="210"/>
        <w:rPr>
          <w:rFonts w:hAnsi="宋体" w:cstheme="minorBidi"/>
          <w:szCs w:val="22"/>
        </w:rPr>
      </w:pPr>
      <w:r>
        <w:fldChar w:fldCharType="begin"/>
      </w:r>
      <w:r>
        <w:instrText xml:space="preserve"> HYPERLINK \l "_Toc164421272" </w:instrText>
      </w:r>
      <w:r>
        <w:fldChar w:fldCharType="separate"/>
      </w:r>
      <w:r>
        <w:rPr>
          <w:rStyle w:val="30"/>
          <w:rFonts w:hAnsi="宋体"/>
        </w:rPr>
        <w:t>6.8 通信性能试验</w:t>
      </w:r>
      <w:r>
        <w:rPr>
          <w:rFonts w:hAnsi="宋体"/>
        </w:rPr>
        <w:tab/>
      </w:r>
      <w:r>
        <w:rPr>
          <w:rFonts w:hAnsi="宋体"/>
        </w:rPr>
        <w:fldChar w:fldCharType="begin" w:fldLock="1"/>
      </w:r>
      <w:r>
        <w:rPr>
          <w:rFonts w:hAnsi="宋体"/>
        </w:rPr>
        <w:instrText xml:space="preserve"> PAGEREF _Toc164421272 \h </w:instrText>
      </w:r>
      <w:r>
        <w:rPr>
          <w:rFonts w:hAnsi="宋体"/>
        </w:rPr>
        <w:fldChar w:fldCharType="separate"/>
      </w:r>
      <w:r>
        <w:rPr>
          <w:rFonts w:hAnsi="宋体"/>
        </w:rPr>
        <w:t>16</w:t>
      </w:r>
      <w:r>
        <w:rPr>
          <w:rFonts w:hAnsi="宋体"/>
        </w:rPr>
        <w:fldChar w:fldCharType="end"/>
      </w:r>
      <w:r>
        <w:rPr>
          <w:rFonts w:hAnsi="宋体"/>
        </w:rPr>
        <w:fldChar w:fldCharType="end"/>
      </w:r>
    </w:p>
    <w:p w14:paraId="464AF936">
      <w:pPr>
        <w:pStyle w:val="11"/>
        <w:ind w:firstLine="210"/>
        <w:rPr>
          <w:rFonts w:hAnsi="宋体" w:cstheme="minorBidi"/>
          <w:szCs w:val="22"/>
        </w:rPr>
      </w:pPr>
      <w:r>
        <w:fldChar w:fldCharType="begin"/>
      </w:r>
      <w:r>
        <w:instrText xml:space="preserve"> HYPERLINK \l "_Toc164421273" </w:instrText>
      </w:r>
      <w:r>
        <w:fldChar w:fldCharType="separate"/>
      </w:r>
      <w:r>
        <w:rPr>
          <w:rStyle w:val="30"/>
          <w:rFonts w:hAnsi="宋体"/>
        </w:rPr>
        <w:t>6.9 互换功能测试</w:t>
      </w:r>
      <w:r>
        <w:rPr>
          <w:rFonts w:hAnsi="宋体"/>
        </w:rPr>
        <w:tab/>
      </w:r>
      <w:r>
        <w:rPr>
          <w:rFonts w:hAnsi="宋体"/>
        </w:rPr>
        <w:fldChar w:fldCharType="begin" w:fldLock="1"/>
      </w:r>
      <w:r>
        <w:rPr>
          <w:rFonts w:hAnsi="宋体"/>
        </w:rPr>
        <w:instrText xml:space="preserve"> PAGEREF _Toc164421273 \h </w:instrText>
      </w:r>
      <w:r>
        <w:rPr>
          <w:rFonts w:hAnsi="宋体"/>
        </w:rPr>
        <w:fldChar w:fldCharType="separate"/>
      </w:r>
      <w:r>
        <w:rPr>
          <w:rFonts w:hAnsi="宋体"/>
        </w:rPr>
        <w:t>16</w:t>
      </w:r>
      <w:r>
        <w:rPr>
          <w:rFonts w:hAnsi="宋体"/>
        </w:rPr>
        <w:fldChar w:fldCharType="end"/>
      </w:r>
      <w:r>
        <w:rPr>
          <w:rFonts w:hAnsi="宋体"/>
        </w:rPr>
        <w:fldChar w:fldCharType="end"/>
      </w:r>
    </w:p>
    <w:p w14:paraId="454767F4">
      <w:pPr>
        <w:pStyle w:val="20"/>
        <w:rPr>
          <w:rFonts w:ascii="宋体" w:hAnsi="宋体" w:eastAsia="宋体"/>
        </w:rPr>
      </w:pPr>
      <w:r>
        <w:fldChar w:fldCharType="begin"/>
      </w:r>
      <w:r>
        <w:instrText xml:space="preserve"> HYPERLINK \l "_Toc164421274" </w:instrText>
      </w:r>
      <w:r>
        <w:fldChar w:fldCharType="separate"/>
      </w:r>
      <w:r>
        <w:rPr>
          <w:rStyle w:val="30"/>
          <w:rFonts w:ascii="宋体" w:hAnsi="宋体" w:eastAsia="宋体"/>
        </w:rPr>
        <w:t>7 检验规则</w:t>
      </w:r>
      <w:r>
        <w:rPr>
          <w:rFonts w:ascii="宋体" w:hAnsi="宋体" w:eastAsia="宋体"/>
        </w:rPr>
        <w:tab/>
      </w:r>
      <w:r>
        <w:rPr>
          <w:rFonts w:ascii="宋体" w:hAnsi="宋体" w:eastAsia="宋体"/>
        </w:rPr>
        <w:fldChar w:fldCharType="begin" w:fldLock="1"/>
      </w:r>
      <w:r>
        <w:rPr>
          <w:rFonts w:ascii="宋体" w:hAnsi="宋体" w:eastAsia="宋体"/>
        </w:rPr>
        <w:instrText xml:space="preserve"> PAGEREF _Toc164421274 \h </w:instrText>
      </w:r>
      <w:r>
        <w:rPr>
          <w:rFonts w:ascii="宋体" w:hAnsi="宋体" w:eastAsia="宋体"/>
        </w:rPr>
        <w:fldChar w:fldCharType="separate"/>
      </w:r>
      <w:r>
        <w:rPr>
          <w:rFonts w:ascii="宋体" w:hAnsi="宋体" w:eastAsia="宋体"/>
        </w:rPr>
        <w:t>17</w:t>
      </w:r>
      <w:r>
        <w:rPr>
          <w:rFonts w:ascii="宋体" w:hAnsi="宋体" w:eastAsia="宋体"/>
        </w:rPr>
        <w:fldChar w:fldCharType="end"/>
      </w:r>
      <w:r>
        <w:rPr>
          <w:rFonts w:ascii="宋体" w:hAnsi="宋体" w:eastAsia="宋体"/>
        </w:rPr>
        <w:fldChar w:fldCharType="end"/>
      </w:r>
    </w:p>
    <w:p w14:paraId="5F6BE596">
      <w:pPr>
        <w:pStyle w:val="11"/>
        <w:ind w:firstLine="210"/>
        <w:rPr>
          <w:rFonts w:hAnsi="宋体" w:cstheme="minorBidi"/>
          <w:szCs w:val="22"/>
        </w:rPr>
      </w:pPr>
      <w:r>
        <w:fldChar w:fldCharType="begin"/>
      </w:r>
      <w:r>
        <w:instrText xml:space="preserve"> HYPERLINK \l "_Toc164421275" </w:instrText>
      </w:r>
      <w:r>
        <w:fldChar w:fldCharType="separate"/>
      </w:r>
      <w:r>
        <w:rPr>
          <w:rStyle w:val="30"/>
          <w:rFonts w:hAnsi="宋体"/>
        </w:rPr>
        <w:t>7.1 检验分类</w:t>
      </w:r>
      <w:r>
        <w:rPr>
          <w:rFonts w:hAnsi="宋体"/>
        </w:rPr>
        <w:tab/>
      </w:r>
      <w:r>
        <w:rPr>
          <w:rFonts w:hAnsi="宋体"/>
        </w:rPr>
        <w:fldChar w:fldCharType="begin" w:fldLock="1"/>
      </w:r>
      <w:r>
        <w:rPr>
          <w:rFonts w:hAnsi="宋体"/>
        </w:rPr>
        <w:instrText xml:space="preserve"> PAGEREF _Toc164421275 \h </w:instrText>
      </w:r>
      <w:r>
        <w:rPr>
          <w:rFonts w:hAnsi="宋体"/>
        </w:rPr>
        <w:fldChar w:fldCharType="separate"/>
      </w:r>
      <w:r>
        <w:rPr>
          <w:rFonts w:hAnsi="宋体"/>
        </w:rPr>
        <w:t>17</w:t>
      </w:r>
      <w:r>
        <w:rPr>
          <w:rFonts w:hAnsi="宋体"/>
        </w:rPr>
        <w:fldChar w:fldCharType="end"/>
      </w:r>
      <w:r>
        <w:rPr>
          <w:rFonts w:hAnsi="宋体"/>
        </w:rPr>
        <w:fldChar w:fldCharType="end"/>
      </w:r>
    </w:p>
    <w:p w14:paraId="4953A58D">
      <w:pPr>
        <w:pStyle w:val="11"/>
        <w:ind w:firstLine="210"/>
        <w:rPr>
          <w:rFonts w:hAnsi="宋体"/>
        </w:rPr>
        <w:sectPr>
          <w:pgSz w:w="11906" w:h="16838"/>
          <w:pgMar w:top="1440" w:right="707" w:bottom="1440" w:left="1800" w:header="851" w:footer="992" w:gutter="0"/>
          <w:pgNumType w:fmt="upperRoman" w:start="1" w:chapStyle="1"/>
          <w:cols w:space="425" w:num="1"/>
          <w:docGrid w:type="lines" w:linePitch="312" w:charSpace="0"/>
        </w:sectPr>
      </w:pPr>
      <w:r>
        <w:rPr>
          <w:rFonts w:hAnsi="宋体"/>
        </w:rPr>
        <w:fldChar w:fldCharType="end"/>
      </w:r>
    </w:p>
    <w:p w14:paraId="2902E7F1">
      <w:pPr>
        <w:pStyle w:val="51"/>
      </w:pPr>
      <w:bookmarkStart w:id="20" w:name="_Toc6212"/>
      <w:bookmarkStart w:id="21" w:name="_Toc90668982"/>
      <w:bookmarkStart w:id="22" w:name="_Toc164421241"/>
      <w:r>
        <w:rPr>
          <w:rFonts w:hint="eastAsia"/>
        </w:rPr>
        <w:t>前</w:t>
      </w:r>
      <w:r>
        <w:t>  </w:t>
      </w:r>
      <w:r>
        <w:rPr>
          <w:rFonts w:hint="eastAsia"/>
        </w:rPr>
        <w:t>言</w:t>
      </w:r>
      <w:bookmarkEnd w:id="20"/>
      <w:bookmarkEnd w:id="21"/>
      <w:bookmarkEnd w:id="22"/>
    </w:p>
    <w:p w14:paraId="6F88DA98">
      <w:pPr>
        <w:pStyle w:val="41"/>
        <w:spacing w:line="360" w:lineRule="auto"/>
        <w:rPr>
          <w:rFonts w:hAnsi="宋体" w:cs="宋体"/>
          <w:szCs w:val="22"/>
        </w:rPr>
      </w:pPr>
      <w:r>
        <w:rPr>
          <w:rFonts w:hint="eastAsia" w:hAnsi="宋体" w:cs="宋体"/>
          <w:szCs w:val="22"/>
        </w:rPr>
        <w:t>本文件按照</w:t>
      </w:r>
      <w:r>
        <w:rPr>
          <w:rFonts w:hAnsi="宋体" w:cs="宋体"/>
          <w:szCs w:val="22"/>
        </w:rPr>
        <w:t xml:space="preserve">GB/T 1.1—2020《标准化工作导则  </w:t>
      </w:r>
      <w:r>
        <w:rPr>
          <w:rFonts w:hint="eastAsia" w:hAnsi="宋体" w:cs="宋体"/>
          <w:szCs w:val="22"/>
        </w:rPr>
        <w:t>第</w:t>
      </w:r>
      <w:r>
        <w:rPr>
          <w:rFonts w:hAnsi="宋体" w:cs="宋体"/>
          <w:szCs w:val="22"/>
        </w:rPr>
        <w:t>1部分：标准化文件的结构和起草规则》的规定起草。</w:t>
      </w:r>
    </w:p>
    <w:p w14:paraId="7036F572">
      <w:pPr>
        <w:pStyle w:val="41"/>
        <w:spacing w:line="360" w:lineRule="auto"/>
        <w:rPr>
          <w:szCs w:val="21"/>
        </w:rPr>
      </w:pPr>
      <w:r>
        <w:rPr>
          <w:szCs w:val="21"/>
        </w:rPr>
        <w:t>T/CIMA0092-2024</w:t>
      </w:r>
      <w:r>
        <w:rPr>
          <w:rFonts w:hint="eastAsia"/>
          <w:szCs w:val="21"/>
        </w:rPr>
        <w:t>《</w:t>
      </w:r>
      <w:bookmarkStart w:id="23" w:name="_Hlk161049611"/>
      <w:r>
        <w:rPr>
          <w:rFonts w:hint="eastAsia"/>
          <w:szCs w:val="21"/>
        </w:rPr>
        <w:t>采集终端远程通信单元</w:t>
      </w:r>
      <w:bookmarkEnd w:id="23"/>
      <w:r>
        <w:rPr>
          <w:rFonts w:hint="eastAsia"/>
          <w:szCs w:val="21"/>
        </w:rPr>
        <w:t>》拟分为下列</w:t>
      </w:r>
      <w:r>
        <w:rPr>
          <w:szCs w:val="21"/>
        </w:rPr>
        <w:t>3</w:t>
      </w:r>
      <w:r>
        <w:rPr>
          <w:rFonts w:hint="eastAsia"/>
          <w:szCs w:val="21"/>
        </w:rPr>
        <w:t>个部分：</w:t>
      </w:r>
    </w:p>
    <w:p w14:paraId="07731CEA">
      <w:pPr>
        <w:pStyle w:val="41"/>
        <w:spacing w:line="360" w:lineRule="auto"/>
        <w:rPr>
          <w:szCs w:val="21"/>
        </w:rPr>
      </w:pPr>
      <w:r>
        <w:rPr>
          <w:rFonts w:hint="eastAsia"/>
          <w:szCs w:val="21"/>
        </w:rPr>
        <w:t>——第</w:t>
      </w:r>
      <w:r>
        <w:rPr>
          <w:szCs w:val="21"/>
        </w:rPr>
        <w:t>1</w:t>
      </w:r>
      <w:r>
        <w:rPr>
          <w:rFonts w:hint="eastAsia"/>
          <w:szCs w:val="21"/>
        </w:rPr>
        <w:t>部分：技术规范；</w:t>
      </w:r>
    </w:p>
    <w:p w14:paraId="6628F248">
      <w:pPr>
        <w:pStyle w:val="41"/>
        <w:spacing w:line="360" w:lineRule="auto"/>
        <w:rPr>
          <w:szCs w:val="21"/>
        </w:rPr>
      </w:pPr>
      <w:r>
        <w:rPr>
          <w:rFonts w:hint="eastAsia"/>
          <w:szCs w:val="21"/>
        </w:rPr>
        <w:t>——</w:t>
      </w:r>
      <w:bookmarkStart w:id="24" w:name="_Hlk161049605"/>
      <w:r>
        <w:rPr>
          <w:rFonts w:hint="eastAsia"/>
          <w:szCs w:val="21"/>
        </w:rPr>
        <w:t>第</w:t>
      </w:r>
      <w:r>
        <w:rPr>
          <w:szCs w:val="21"/>
        </w:rPr>
        <w:t>2</w:t>
      </w:r>
      <w:r>
        <w:rPr>
          <w:rFonts w:hint="eastAsia"/>
          <w:szCs w:val="21"/>
        </w:rPr>
        <w:t>部分：通信接口协议</w:t>
      </w:r>
      <w:bookmarkEnd w:id="24"/>
      <w:r>
        <w:rPr>
          <w:rFonts w:hint="eastAsia"/>
          <w:szCs w:val="21"/>
        </w:rPr>
        <w:t>；</w:t>
      </w:r>
    </w:p>
    <w:p w14:paraId="4BE3939D">
      <w:pPr>
        <w:pStyle w:val="41"/>
        <w:spacing w:line="360" w:lineRule="auto"/>
        <w:rPr>
          <w:szCs w:val="21"/>
        </w:rPr>
      </w:pPr>
      <w:r>
        <w:rPr>
          <w:rFonts w:hint="eastAsia"/>
          <w:szCs w:val="21"/>
        </w:rPr>
        <w:t>——第</w:t>
      </w:r>
      <w:r>
        <w:rPr>
          <w:szCs w:val="21"/>
        </w:rPr>
        <w:t>3</w:t>
      </w:r>
      <w:r>
        <w:rPr>
          <w:rFonts w:hint="eastAsia"/>
          <w:szCs w:val="21"/>
        </w:rPr>
        <w:t>部分：型式结构。</w:t>
      </w:r>
    </w:p>
    <w:p w14:paraId="74A2D79B">
      <w:pPr>
        <w:pStyle w:val="41"/>
        <w:spacing w:line="360" w:lineRule="auto"/>
        <w:rPr>
          <w:szCs w:val="21"/>
        </w:rPr>
      </w:pPr>
      <w:r>
        <w:rPr>
          <w:rFonts w:hint="eastAsia"/>
          <w:szCs w:val="21"/>
        </w:rPr>
        <w:t>本文件是</w:t>
      </w:r>
      <w:r>
        <w:rPr>
          <w:szCs w:val="21"/>
        </w:rPr>
        <w:t>T/CIMA0092</w:t>
      </w:r>
      <w:r>
        <w:rPr>
          <w:rFonts w:hint="eastAsia"/>
          <w:szCs w:val="21"/>
        </w:rPr>
        <w:t>.1</w:t>
      </w:r>
      <w:r>
        <w:rPr>
          <w:szCs w:val="21"/>
        </w:rPr>
        <w:t>-2024</w:t>
      </w:r>
      <w:r>
        <w:rPr>
          <w:rFonts w:hint="eastAsia"/>
          <w:szCs w:val="21"/>
        </w:rPr>
        <w:t>的第</w:t>
      </w:r>
      <w:r>
        <w:rPr>
          <w:szCs w:val="21"/>
        </w:rPr>
        <w:t>1</w:t>
      </w:r>
      <w:r>
        <w:rPr>
          <w:rFonts w:hint="eastAsia"/>
          <w:szCs w:val="21"/>
        </w:rPr>
        <w:t>部分。</w:t>
      </w:r>
    </w:p>
    <w:p w14:paraId="263652E4">
      <w:pPr>
        <w:pStyle w:val="41"/>
        <w:spacing w:line="360" w:lineRule="auto"/>
        <w:rPr>
          <w:rFonts w:hAnsi="宋体" w:cs="宋体"/>
          <w:szCs w:val="22"/>
        </w:rPr>
      </w:pPr>
      <w:r>
        <w:rPr>
          <w:rFonts w:hint="eastAsia" w:hAnsi="宋体" w:cs="宋体"/>
          <w:szCs w:val="22"/>
        </w:rPr>
        <w:t>请注意本文件的某些内容可能涉及专利。本文件的发布机构不承担识别这些专利的责任。</w:t>
      </w:r>
    </w:p>
    <w:p w14:paraId="0D16B8CB">
      <w:pPr>
        <w:pStyle w:val="41"/>
        <w:spacing w:line="360" w:lineRule="auto"/>
        <w:rPr>
          <w:rFonts w:hAnsi="宋体" w:cs="宋体"/>
        </w:rPr>
      </w:pPr>
      <w:r>
        <w:rPr>
          <w:rFonts w:hint="eastAsia" w:hAnsi="宋体" w:cs="宋体"/>
        </w:rPr>
        <w:t>本文件由中国仪器仪表行业协会电工仪器仪表分会提出。</w:t>
      </w:r>
    </w:p>
    <w:p w14:paraId="21EF8B01">
      <w:pPr>
        <w:pStyle w:val="41"/>
        <w:spacing w:line="360" w:lineRule="auto"/>
        <w:rPr>
          <w:rFonts w:hAnsi="宋体" w:cs="宋体"/>
        </w:rPr>
      </w:pPr>
      <w:r>
        <w:rPr>
          <w:rFonts w:hint="eastAsia" w:hAnsi="宋体" w:cs="宋体"/>
        </w:rPr>
        <w:t>本文件由中国仪器仪表行业协会电工仪器仪表分会归口。</w:t>
      </w:r>
    </w:p>
    <w:p w14:paraId="33954810">
      <w:pPr>
        <w:pStyle w:val="41"/>
        <w:spacing w:line="360" w:lineRule="auto"/>
        <w:rPr>
          <w:rFonts w:hAnsi="宋体" w:cs="宋体"/>
          <w:szCs w:val="22"/>
        </w:rPr>
      </w:pPr>
      <w:r>
        <w:rPr>
          <w:rFonts w:hint="eastAsia" w:hAnsi="宋体" w:cs="宋体"/>
          <w:szCs w:val="22"/>
        </w:rPr>
        <w:t>本文件起草单位：中国电力科学研究院有限公司、国网思极位置服务有限公司、国网物资有限公司、河南许继仪表有限公司、北京市腾河智慧能源科技有限公司、国网新疆营销服务中心等。</w:t>
      </w:r>
    </w:p>
    <w:p w14:paraId="00FA61BD">
      <w:pPr>
        <w:pStyle w:val="41"/>
        <w:spacing w:line="360" w:lineRule="auto"/>
        <w:rPr>
          <w:rFonts w:hAnsi="宋体" w:cs="宋体"/>
          <w:szCs w:val="22"/>
        </w:rPr>
      </w:pPr>
      <w:r>
        <w:rPr>
          <w:rFonts w:hint="eastAsia" w:hAnsi="宋体" w:cs="宋体"/>
          <w:szCs w:val="22"/>
        </w:rPr>
        <w:t>本文件起草人：祝恩国、张双沫、阿辽沙.叶、卢继哲、李然、王霏、乔鹏、徐景涛、舒光和、刘梦爽。</w:t>
      </w:r>
    </w:p>
    <w:p w14:paraId="20842D8F">
      <w:pPr>
        <w:pStyle w:val="2"/>
      </w:pPr>
    </w:p>
    <w:p w14:paraId="09D48CA3">
      <w:pPr>
        <w:sectPr>
          <w:headerReference r:id="rId9" w:type="default"/>
          <w:pgSz w:w="11906" w:h="16838"/>
          <w:pgMar w:top="1440" w:right="849" w:bottom="1440" w:left="1800" w:header="851" w:footer="992" w:gutter="0"/>
          <w:pgNumType w:fmt="upperRoman" w:chapStyle="1"/>
          <w:cols w:space="425" w:num="1"/>
          <w:docGrid w:type="lines" w:linePitch="312" w:charSpace="0"/>
        </w:sectPr>
      </w:pPr>
    </w:p>
    <w:p w14:paraId="3A240558">
      <w:pPr>
        <w:pStyle w:val="51"/>
      </w:pPr>
      <w:bookmarkStart w:id="25" w:name="_Toc164421242"/>
      <w:bookmarkStart w:id="26" w:name="_Toc21540"/>
      <w:bookmarkStart w:id="27" w:name="_Toc28129"/>
      <w:bookmarkStart w:id="28" w:name="StandardName"/>
      <w:r>
        <w:rPr>
          <w:rFonts w:hint="eastAsia"/>
        </w:rPr>
        <w:t>引</w:t>
      </w:r>
      <w:r>
        <w:t>  </w:t>
      </w:r>
      <w:r>
        <w:rPr>
          <w:rFonts w:hint="eastAsia"/>
        </w:rPr>
        <w:t>言</w:t>
      </w:r>
      <w:bookmarkEnd w:id="25"/>
    </w:p>
    <w:p w14:paraId="12EDE50A">
      <w:pPr>
        <w:pStyle w:val="41"/>
        <w:spacing w:line="360" w:lineRule="auto"/>
        <w:rPr>
          <w:szCs w:val="21"/>
        </w:rPr>
      </w:pPr>
      <w:r>
        <w:rPr>
          <w:szCs w:val="21"/>
        </w:rPr>
        <w:t>T/CIMA0092-2024《</w:t>
      </w:r>
      <w:r>
        <w:rPr>
          <w:rFonts w:hint="eastAsia"/>
          <w:szCs w:val="21"/>
        </w:rPr>
        <w:t>采集终端远程通信单元</w:t>
      </w:r>
      <w:r>
        <w:rPr>
          <w:szCs w:val="21"/>
        </w:rPr>
        <w:t>》</w:t>
      </w:r>
      <w:r>
        <w:rPr>
          <w:rFonts w:hint="eastAsia"/>
          <w:szCs w:val="21"/>
        </w:rPr>
        <w:t>系列标准弥补了电力营销领域采集终端远程</w:t>
      </w:r>
      <w:r>
        <w:rPr>
          <w:szCs w:val="21"/>
        </w:rPr>
        <w:t>通信单元</w:t>
      </w:r>
      <w:r>
        <w:rPr>
          <w:rFonts w:hint="eastAsia"/>
          <w:szCs w:val="21"/>
        </w:rPr>
        <w:t xml:space="preserve">无定位功能、通信接口协议、型式结构标准的空白。 </w:t>
      </w:r>
    </w:p>
    <w:p w14:paraId="4B78672E">
      <w:pPr>
        <w:pStyle w:val="41"/>
        <w:spacing w:line="360" w:lineRule="auto"/>
        <w:rPr>
          <w:szCs w:val="21"/>
        </w:rPr>
      </w:pPr>
      <w:r>
        <w:rPr>
          <w:rFonts w:hint="eastAsia"/>
          <w:szCs w:val="21"/>
        </w:rPr>
        <w:t>本标准旨在提升采集终端远程</w:t>
      </w:r>
      <w:r>
        <w:rPr>
          <w:szCs w:val="21"/>
        </w:rPr>
        <w:t>通信单元</w:t>
      </w:r>
      <w:r>
        <w:rPr>
          <w:rFonts w:hint="eastAsia"/>
          <w:szCs w:val="21"/>
        </w:rPr>
        <w:t>的规范化、标准化水平，提升电力营销专业时空数据采集精度与可靠性，满足电力营销设备地理信息采集需要及能源互联网数智化建设要求，拟由技术规范、通信接口协议、型式结构三个部分构成。</w:t>
      </w:r>
    </w:p>
    <w:p w14:paraId="02214114">
      <w:pPr>
        <w:pStyle w:val="41"/>
        <w:spacing w:line="360" w:lineRule="auto"/>
        <w:rPr>
          <w:szCs w:val="21"/>
        </w:rPr>
      </w:pPr>
      <w:r>
        <w:rPr>
          <w:rFonts w:hint="eastAsia"/>
          <w:szCs w:val="21"/>
        </w:rPr>
        <w:t>——第</w:t>
      </w:r>
      <w:r>
        <w:rPr>
          <w:szCs w:val="21"/>
        </w:rPr>
        <w:t>1</w:t>
      </w:r>
      <w:r>
        <w:rPr>
          <w:rFonts w:hint="eastAsia"/>
          <w:szCs w:val="21"/>
        </w:rPr>
        <w:t>部分：技术规范。</w:t>
      </w:r>
    </w:p>
    <w:p w14:paraId="50CA5F8D">
      <w:pPr>
        <w:pStyle w:val="41"/>
        <w:spacing w:line="360" w:lineRule="auto"/>
        <w:rPr>
          <w:szCs w:val="21"/>
        </w:rPr>
      </w:pPr>
      <w:r>
        <w:rPr>
          <w:rFonts w:hint="eastAsia"/>
          <w:szCs w:val="21"/>
        </w:rPr>
        <w:t>——第</w:t>
      </w:r>
      <w:r>
        <w:rPr>
          <w:szCs w:val="21"/>
        </w:rPr>
        <w:t>2</w:t>
      </w:r>
      <w:r>
        <w:rPr>
          <w:rFonts w:hint="eastAsia"/>
          <w:szCs w:val="21"/>
        </w:rPr>
        <w:t>部分：通信接口协议。</w:t>
      </w:r>
    </w:p>
    <w:p w14:paraId="7EC08268">
      <w:pPr>
        <w:pStyle w:val="41"/>
        <w:spacing w:line="360" w:lineRule="auto"/>
        <w:rPr>
          <w:szCs w:val="21"/>
        </w:rPr>
      </w:pPr>
      <w:r>
        <w:rPr>
          <w:rFonts w:hint="eastAsia"/>
          <w:szCs w:val="21"/>
        </w:rPr>
        <w:t>——第</w:t>
      </w:r>
      <w:r>
        <w:rPr>
          <w:szCs w:val="21"/>
        </w:rPr>
        <w:t>3</w:t>
      </w:r>
      <w:r>
        <w:rPr>
          <w:rFonts w:hint="eastAsia"/>
          <w:szCs w:val="21"/>
        </w:rPr>
        <w:t>部分：型式结构。</w:t>
      </w:r>
    </w:p>
    <w:p w14:paraId="67CEC325">
      <w:pPr>
        <w:pStyle w:val="41"/>
        <w:spacing w:line="360" w:lineRule="auto"/>
        <w:rPr>
          <w:szCs w:val="21"/>
        </w:rPr>
      </w:pPr>
    </w:p>
    <w:p w14:paraId="025A4923"/>
    <w:p w14:paraId="5CB47564">
      <w:r>
        <w:br w:type="page"/>
      </w:r>
    </w:p>
    <w:p w14:paraId="12086795">
      <w:pPr>
        <w:pStyle w:val="2"/>
      </w:pPr>
    </w:p>
    <w:p w14:paraId="677A78F9">
      <w:pPr>
        <w:pStyle w:val="56"/>
        <w:ind w:firstLine="0" w:firstLineChars="0"/>
        <w:jc w:val="center"/>
        <w:rPr>
          <w:rFonts w:ascii="黑体" w:hAnsi="黑体" w:eastAsia="黑体"/>
          <w:sz w:val="32"/>
          <w:szCs w:val="32"/>
        </w:rPr>
      </w:pPr>
      <w:r>
        <w:rPr>
          <w:rFonts w:hint="eastAsia" w:ascii="黑体" w:hAnsi="黑体" w:eastAsia="黑体"/>
          <w:sz w:val="32"/>
          <w:szCs w:val="32"/>
        </w:rPr>
        <w:t>采集终端远程通信单元</w:t>
      </w:r>
      <w:bookmarkEnd w:id="26"/>
      <w:bookmarkEnd w:id="27"/>
    </w:p>
    <w:p w14:paraId="607FCAFC">
      <w:pPr>
        <w:pStyle w:val="56"/>
        <w:ind w:firstLine="0" w:firstLineChars="0"/>
        <w:jc w:val="center"/>
        <w:rPr>
          <w:rFonts w:ascii="黑体" w:hAnsi="黑体" w:eastAsia="黑体"/>
          <w:sz w:val="32"/>
          <w:szCs w:val="32"/>
        </w:rPr>
      </w:pPr>
      <w:bookmarkStart w:id="29" w:name="_Toc17144"/>
      <w:bookmarkStart w:id="30" w:name="_Toc24283"/>
      <w:r>
        <w:rPr>
          <w:rFonts w:hint="eastAsia" w:ascii="黑体" w:hAnsi="黑体" w:eastAsia="黑体"/>
          <w:sz w:val="32"/>
          <w:szCs w:val="32"/>
        </w:rPr>
        <w:t>第1部分：技术</w:t>
      </w:r>
      <w:bookmarkEnd w:id="29"/>
      <w:bookmarkEnd w:id="30"/>
      <w:r>
        <w:rPr>
          <w:rFonts w:hint="eastAsia" w:ascii="黑体" w:hAnsi="黑体" w:eastAsia="黑体"/>
          <w:sz w:val="32"/>
          <w:szCs w:val="32"/>
        </w:rPr>
        <w:t>规范</w:t>
      </w:r>
    </w:p>
    <w:bookmarkEnd w:id="28"/>
    <w:p w14:paraId="219B2048">
      <w:pPr>
        <w:pStyle w:val="35"/>
        <w:numPr>
          <w:ilvl w:val="0"/>
          <w:numId w:val="14"/>
        </w:numPr>
        <w:spacing w:before="312" w:after="312"/>
      </w:pPr>
      <w:bookmarkStart w:id="31" w:name="_Toc24741"/>
      <w:bookmarkStart w:id="32" w:name="_Toc344136737"/>
      <w:bookmarkStart w:id="33" w:name="_Toc90668983"/>
      <w:bookmarkStart w:id="34" w:name="_Toc329074167"/>
      <w:bookmarkStart w:id="35" w:name="_Toc164421243"/>
      <w:r>
        <w:rPr>
          <w:rFonts w:hint="eastAsia"/>
        </w:rPr>
        <w:t>范围</w:t>
      </w:r>
      <w:bookmarkEnd w:id="31"/>
      <w:bookmarkEnd w:id="32"/>
      <w:bookmarkEnd w:id="33"/>
      <w:bookmarkEnd w:id="34"/>
      <w:bookmarkEnd w:id="35"/>
    </w:p>
    <w:p w14:paraId="573231DD">
      <w:pPr>
        <w:pStyle w:val="41"/>
      </w:pPr>
      <w:r>
        <w:rPr>
          <w:rFonts w:hint="eastAsia"/>
        </w:rPr>
        <w:t>本文件规定了采集终端远程通信单元</w:t>
      </w:r>
      <w:r>
        <w:t>的</w:t>
      </w:r>
      <w:r>
        <w:rPr>
          <w:rFonts w:hint="eastAsia"/>
        </w:rPr>
        <w:t>技术要求、试验方法、检验规则。</w:t>
      </w:r>
    </w:p>
    <w:p w14:paraId="3BAFBE9B">
      <w:pPr>
        <w:pStyle w:val="41"/>
      </w:pPr>
      <w:r>
        <w:rPr>
          <w:rFonts w:hint="eastAsia"/>
        </w:rPr>
        <w:t>本文件适用于采集终端远程通信单元的设计、制造、检验。</w:t>
      </w:r>
    </w:p>
    <w:p w14:paraId="6030198C">
      <w:pPr>
        <w:pStyle w:val="35"/>
        <w:numPr>
          <w:ilvl w:val="0"/>
          <w:numId w:val="14"/>
        </w:numPr>
        <w:spacing w:before="312" w:after="312"/>
      </w:pPr>
      <w:bookmarkStart w:id="36" w:name="_Toc90668984"/>
      <w:bookmarkStart w:id="37" w:name="_Toc329074168"/>
      <w:bookmarkStart w:id="38" w:name="_Toc4496"/>
      <w:bookmarkStart w:id="39" w:name="_Toc344136738"/>
      <w:bookmarkStart w:id="40" w:name="_Toc164421244"/>
      <w:r>
        <w:rPr>
          <w:rFonts w:hint="eastAsia"/>
        </w:rPr>
        <w:t>规范性引用文件</w:t>
      </w:r>
      <w:bookmarkEnd w:id="36"/>
      <w:bookmarkEnd w:id="37"/>
      <w:bookmarkEnd w:id="38"/>
      <w:bookmarkEnd w:id="39"/>
      <w:bookmarkEnd w:id="40"/>
    </w:p>
    <w:p w14:paraId="3050F683">
      <w:pPr>
        <w:pStyle w:val="41"/>
        <w:rPr>
          <w:rFonts w:ascii="Times New Roman"/>
          <w:szCs w:val="22"/>
        </w:rPr>
      </w:pPr>
      <w:r>
        <w:rPr>
          <w:rFonts w:ascii="Times New Roman"/>
          <w:szCs w:val="22"/>
        </w:rPr>
        <w:t>下列文件中的内容通过文中的规范性引用而构成本文件必不可少的条款。其中</w:t>
      </w:r>
      <w:r>
        <w:rPr>
          <w:rFonts w:hint="eastAsia" w:ascii="Times New Roman"/>
          <w:szCs w:val="22"/>
        </w:rPr>
        <w:t>，</w:t>
      </w:r>
      <w:r>
        <w:rPr>
          <w:rFonts w:ascii="Times New Roman"/>
          <w:szCs w:val="22"/>
        </w:rPr>
        <w:t>注日期的引用文件，仅该日期对应的版本适用于本文件</w:t>
      </w:r>
      <w:r>
        <w:rPr>
          <w:rFonts w:hint="eastAsia" w:ascii="Times New Roman"/>
          <w:szCs w:val="22"/>
        </w:rPr>
        <w:t>；</w:t>
      </w:r>
      <w:r>
        <w:rPr>
          <w:rFonts w:ascii="Times New Roman"/>
          <w:szCs w:val="22"/>
        </w:rPr>
        <w:t>不注日期的引用文件，其最新版本（包括所有的修改单）适用于本文件。</w:t>
      </w:r>
    </w:p>
    <w:p w14:paraId="2D0DD396">
      <w:pPr>
        <w:pStyle w:val="41"/>
        <w:rPr>
          <w:szCs w:val="22"/>
        </w:rPr>
      </w:pPr>
      <w:r>
        <w:rPr>
          <w:szCs w:val="22"/>
        </w:rPr>
        <w:t xml:space="preserve">GB/T 2423.1-2008 </w:t>
      </w:r>
      <w:bookmarkStart w:id="41" w:name="_Hlk161049945"/>
      <w:r>
        <w:rPr>
          <w:rFonts w:hint="eastAsia"/>
          <w:szCs w:val="22"/>
        </w:rPr>
        <w:t>电工电子产品环境试验第</w:t>
      </w:r>
      <w:r>
        <w:rPr>
          <w:szCs w:val="22"/>
        </w:rPr>
        <w:t>2部分：试验方法</w:t>
      </w:r>
      <w:r>
        <w:rPr>
          <w:rFonts w:hint="eastAsia"/>
          <w:szCs w:val="22"/>
        </w:rPr>
        <w:t>试验</w:t>
      </w:r>
      <w:r>
        <w:rPr>
          <w:szCs w:val="22"/>
        </w:rPr>
        <w:t>A：低温</w:t>
      </w:r>
      <w:bookmarkEnd w:id="41"/>
    </w:p>
    <w:p w14:paraId="067AECB9">
      <w:pPr>
        <w:pStyle w:val="41"/>
        <w:rPr>
          <w:szCs w:val="22"/>
        </w:rPr>
      </w:pPr>
      <w:r>
        <w:rPr>
          <w:szCs w:val="22"/>
        </w:rPr>
        <w:t xml:space="preserve">GB/T 2423.2-2008 </w:t>
      </w:r>
      <w:bookmarkStart w:id="42" w:name="_Hlk161049936"/>
      <w:r>
        <w:rPr>
          <w:rFonts w:hint="eastAsia"/>
          <w:szCs w:val="22"/>
        </w:rPr>
        <w:t>电工电子产品环境试验第</w:t>
      </w:r>
      <w:r>
        <w:rPr>
          <w:szCs w:val="22"/>
        </w:rPr>
        <w:t>2部分：试验方法</w:t>
      </w:r>
      <w:r>
        <w:rPr>
          <w:rFonts w:hint="eastAsia"/>
          <w:szCs w:val="22"/>
        </w:rPr>
        <w:t>试验</w:t>
      </w:r>
      <w:r>
        <w:rPr>
          <w:szCs w:val="22"/>
        </w:rPr>
        <w:t>B：高温</w:t>
      </w:r>
      <w:bookmarkEnd w:id="42"/>
    </w:p>
    <w:p w14:paraId="34D836C5">
      <w:pPr>
        <w:pStyle w:val="41"/>
        <w:rPr>
          <w:rFonts w:hAnsi="宋体" w:cs="宋体"/>
          <w:szCs w:val="21"/>
        </w:rPr>
      </w:pPr>
      <w:r>
        <w:rPr>
          <w:rFonts w:hAnsi="宋体" w:cs="宋体"/>
          <w:szCs w:val="21"/>
        </w:rPr>
        <w:t xml:space="preserve">GB/T 2423.3-2016 </w:t>
      </w:r>
      <w:bookmarkStart w:id="43" w:name="_Hlk161049960"/>
      <w:r>
        <w:rPr>
          <w:rFonts w:hint="eastAsia" w:hAnsi="宋体" w:cs="宋体"/>
          <w:szCs w:val="21"/>
        </w:rPr>
        <w:t>电工电子产品环境试验第</w:t>
      </w:r>
      <w:r>
        <w:rPr>
          <w:rFonts w:hAnsi="宋体" w:cs="宋体"/>
          <w:szCs w:val="21"/>
        </w:rPr>
        <w:t xml:space="preserve">2部分：试验方法 </w:t>
      </w:r>
      <w:r>
        <w:rPr>
          <w:rFonts w:hint="eastAsia" w:hAnsi="宋体" w:cs="宋体"/>
          <w:szCs w:val="21"/>
        </w:rPr>
        <w:t>试验</w:t>
      </w:r>
      <w:r>
        <w:rPr>
          <w:rFonts w:hAnsi="宋体" w:cs="宋体"/>
          <w:szCs w:val="21"/>
        </w:rPr>
        <w:t>Cab：恒定湿热方法</w:t>
      </w:r>
      <w:bookmarkEnd w:id="43"/>
    </w:p>
    <w:p w14:paraId="65B9FAEE">
      <w:pPr>
        <w:pStyle w:val="41"/>
        <w:rPr>
          <w:rFonts w:hAnsi="宋体" w:cs="宋体"/>
          <w:szCs w:val="21"/>
        </w:rPr>
      </w:pPr>
      <w:r>
        <w:rPr>
          <w:rFonts w:hAnsi="宋体" w:cs="宋体"/>
          <w:szCs w:val="21"/>
        </w:rPr>
        <w:t xml:space="preserve">GB/T 4208-2017 </w:t>
      </w:r>
      <w:bookmarkStart w:id="44" w:name="_Hlk161049971"/>
      <w:r>
        <w:rPr>
          <w:rFonts w:hint="eastAsia" w:hAnsi="宋体" w:cs="宋体"/>
          <w:szCs w:val="21"/>
        </w:rPr>
        <w:t>外壳防护等级（</w:t>
      </w:r>
      <w:r>
        <w:rPr>
          <w:rFonts w:hAnsi="宋体" w:cs="宋体"/>
          <w:szCs w:val="21"/>
        </w:rPr>
        <w:t>IP代码）</w:t>
      </w:r>
      <w:bookmarkEnd w:id="44"/>
    </w:p>
    <w:p w14:paraId="2ADC74B9">
      <w:pPr>
        <w:pStyle w:val="41"/>
        <w:rPr>
          <w:rFonts w:hAnsi="宋体" w:cs="宋体"/>
          <w:szCs w:val="21"/>
        </w:rPr>
      </w:pPr>
      <w:r>
        <w:rPr>
          <w:rFonts w:hAnsi="宋体" w:cs="宋体"/>
          <w:szCs w:val="21"/>
        </w:rPr>
        <w:t xml:space="preserve">GB/T 5169.11-2017 </w:t>
      </w:r>
      <w:r>
        <w:rPr>
          <w:rFonts w:hint="eastAsia" w:hAnsi="宋体" w:cs="宋体"/>
          <w:szCs w:val="21"/>
        </w:rPr>
        <w:t>电工电子产品着火危险试验第</w:t>
      </w:r>
      <w:r>
        <w:rPr>
          <w:rFonts w:hAnsi="宋体" w:cs="宋体"/>
          <w:szCs w:val="21"/>
        </w:rPr>
        <w:t xml:space="preserve">11部分：灼热丝/热丝基本试验方法 </w:t>
      </w:r>
      <w:r>
        <w:rPr>
          <w:rFonts w:hint="eastAsia" w:hAnsi="宋体" w:cs="宋体"/>
          <w:szCs w:val="21"/>
        </w:rPr>
        <w:t>成品的灼热丝可燃性试验方法（</w:t>
      </w:r>
      <w:r>
        <w:rPr>
          <w:rFonts w:hAnsi="宋体" w:cs="宋体"/>
          <w:szCs w:val="21"/>
        </w:rPr>
        <w:t>GWEPT）</w:t>
      </w:r>
    </w:p>
    <w:p w14:paraId="6676A523">
      <w:pPr>
        <w:pStyle w:val="41"/>
        <w:widowControl w:val="0"/>
        <w:rPr>
          <w:szCs w:val="22"/>
        </w:rPr>
      </w:pPr>
      <w:r>
        <w:rPr>
          <w:szCs w:val="22"/>
        </w:rPr>
        <w:t xml:space="preserve">GB/T 17626.2-2018 </w:t>
      </w:r>
      <w:bookmarkStart w:id="45" w:name="_Hlk161050043"/>
      <w:r>
        <w:rPr>
          <w:rFonts w:hint="eastAsia"/>
          <w:szCs w:val="22"/>
        </w:rPr>
        <w:t>电磁兼容试验和测量技术静电放电抗扰度试验</w:t>
      </w:r>
      <w:bookmarkEnd w:id="45"/>
    </w:p>
    <w:p w14:paraId="70AA17F0">
      <w:pPr>
        <w:pStyle w:val="41"/>
        <w:widowControl w:val="0"/>
        <w:rPr>
          <w:szCs w:val="22"/>
        </w:rPr>
      </w:pPr>
      <w:r>
        <w:rPr>
          <w:szCs w:val="22"/>
        </w:rPr>
        <w:t>GB/T 17626.3-2016</w:t>
      </w:r>
      <w:bookmarkStart w:id="46" w:name="_Hlk161050011"/>
      <w:r>
        <w:rPr>
          <w:rFonts w:hint="eastAsia"/>
          <w:szCs w:val="22"/>
        </w:rPr>
        <w:t>电磁兼容试验和测量技术射频电磁场辐射抗扰度试验</w:t>
      </w:r>
    </w:p>
    <w:bookmarkEnd w:id="46"/>
    <w:p w14:paraId="4865456D">
      <w:pPr>
        <w:pStyle w:val="41"/>
        <w:widowControl w:val="0"/>
        <w:rPr>
          <w:szCs w:val="22"/>
        </w:rPr>
      </w:pPr>
      <w:r>
        <w:rPr>
          <w:szCs w:val="22"/>
        </w:rPr>
        <w:t xml:space="preserve">GB/T 17626.4-2018 </w:t>
      </w:r>
      <w:bookmarkStart w:id="47" w:name="_Hlk161050057"/>
      <w:r>
        <w:rPr>
          <w:rFonts w:hint="eastAsia"/>
          <w:szCs w:val="22"/>
        </w:rPr>
        <w:t>电磁兼容试验和测量技术电快速瞬变脉冲群抗扰度试验</w:t>
      </w:r>
      <w:bookmarkEnd w:id="47"/>
    </w:p>
    <w:p w14:paraId="70254E85">
      <w:pPr>
        <w:pStyle w:val="41"/>
        <w:widowControl w:val="0"/>
        <w:rPr>
          <w:szCs w:val="22"/>
        </w:rPr>
      </w:pPr>
      <w:r>
        <w:rPr>
          <w:szCs w:val="22"/>
        </w:rPr>
        <w:t xml:space="preserve">GB/T 17626.5-2019 </w:t>
      </w:r>
      <w:bookmarkStart w:id="48" w:name="_Hlk161050108"/>
      <w:r>
        <w:rPr>
          <w:rFonts w:hint="eastAsia"/>
          <w:szCs w:val="22"/>
        </w:rPr>
        <w:t>电磁兼容试验和测量技术浪涌（冲击）抗扰度试验</w:t>
      </w:r>
      <w:bookmarkEnd w:id="48"/>
    </w:p>
    <w:p w14:paraId="6242420B">
      <w:pPr>
        <w:pStyle w:val="41"/>
        <w:widowControl w:val="0"/>
        <w:rPr>
          <w:szCs w:val="22"/>
        </w:rPr>
      </w:pPr>
      <w:r>
        <w:rPr>
          <w:szCs w:val="22"/>
        </w:rPr>
        <w:t>GB/T 17626.6-2017</w:t>
      </w:r>
      <w:bookmarkStart w:id="49" w:name="_Hlk161050094"/>
      <w:r>
        <w:rPr>
          <w:rFonts w:hint="eastAsia"/>
          <w:szCs w:val="22"/>
        </w:rPr>
        <w:t>电磁兼容试验和测量技术射频场感应的传导骚扰抗扰度</w:t>
      </w:r>
      <w:bookmarkEnd w:id="49"/>
    </w:p>
    <w:p w14:paraId="22EC9868">
      <w:pPr>
        <w:pStyle w:val="41"/>
        <w:widowControl w:val="0"/>
        <w:rPr>
          <w:szCs w:val="22"/>
        </w:rPr>
      </w:pPr>
      <w:r>
        <w:rPr>
          <w:szCs w:val="22"/>
        </w:rPr>
        <w:t xml:space="preserve">GB/T 17626.11-2008 </w:t>
      </w:r>
      <w:bookmarkStart w:id="50" w:name="_Hlk161049994"/>
      <w:r>
        <w:rPr>
          <w:rFonts w:hint="eastAsia"/>
          <w:szCs w:val="22"/>
        </w:rPr>
        <w:t>电磁兼容试验和测量技术电压暂降、短时中断和电压变化的抗扰度试验</w:t>
      </w:r>
    </w:p>
    <w:p w14:paraId="699FA3A6">
      <w:pPr>
        <w:pStyle w:val="41"/>
        <w:widowControl w:val="0"/>
        <w:rPr>
          <w:szCs w:val="22"/>
        </w:rPr>
      </w:pPr>
      <w:r>
        <w:rPr>
          <w:szCs w:val="22"/>
        </w:rPr>
        <w:t>GB/T 17626.18-2016 电磁兼容 试验和测量技术 阻尼振荡波抗扰度试验</w:t>
      </w:r>
    </w:p>
    <w:bookmarkEnd w:id="50"/>
    <w:p w14:paraId="2C55F74A">
      <w:pPr>
        <w:pStyle w:val="41"/>
        <w:rPr>
          <w:rFonts w:hAnsi="宋体" w:cs="宋体"/>
          <w:szCs w:val="21"/>
        </w:rPr>
      </w:pPr>
      <w:r>
        <w:rPr>
          <w:rFonts w:hAnsi="宋体" w:cs="宋体"/>
          <w:szCs w:val="21"/>
        </w:rPr>
        <w:t>GB/T 37937-2019</w:t>
      </w:r>
      <w:r>
        <w:rPr>
          <w:rFonts w:hint="eastAsia" w:hAnsi="宋体" w:cs="宋体"/>
          <w:szCs w:val="21"/>
        </w:rPr>
        <w:t>北斗卫星授时终端技术要求</w:t>
      </w:r>
    </w:p>
    <w:p w14:paraId="78FC9F81">
      <w:pPr>
        <w:pStyle w:val="41"/>
        <w:widowControl w:val="0"/>
        <w:rPr>
          <w:szCs w:val="22"/>
        </w:rPr>
      </w:pPr>
      <w:r>
        <w:rPr>
          <w:szCs w:val="22"/>
        </w:rPr>
        <w:t xml:space="preserve">GB/T 39267-2020 </w:t>
      </w:r>
      <w:r>
        <w:rPr>
          <w:rFonts w:hint="eastAsia"/>
          <w:szCs w:val="22"/>
        </w:rPr>
        <w:t>北斗卫星导航术语</w:t>
      </w:r>
    </w:p>
    <w:p w14:paraId="0E801EF6">
      <w:pPr>
        <w:pStyle w:val="41"/>
        <w:rPr>
          <w:rFonts w:hAnsi="宋体" w:cs="宋体"/>
          <w:szCs w:val="21"/>
        </w:rPr>
      </w:pPr>
      <w:r>
        <w:rPr>
          <w:rFonts w:hAnsi="宋体" w:cs="宋体"/>
          <w:szCs w:val="21"/>
        </w:rPr>
        <w:t xml:space="preserve">GB/T 39399-2020 </w:t>
      </w:r>
      <w:bookmarkStart w:id="51" w:name="_Hlk161049774"/>
      <w:r>
        <w:rPr>
          <w:rFonts w:hint="eastAsia" w:hAnsi="宋体" w:cs="宋体"/>
          <w:szCs w:val="21"/>
        </w:rPr>
        <w:t>北斗卫星导航系统测量型接收机通用规范</w:t>
      </w:r>
      <w:bookmarkEnd w:id="51"/>
    </w:p>
    <w:p w14:paraId="64308A06">
      <w:pPr>
        <w:pStyle w:val="41"/>
        <w:rPr>
          <w:szCs w:val="21"/>
        </w:rPr>
      </w:pPr>
      <w:r>
        <w:rPr>
          <w:szCs w:val="21"/>
        </w:rPr>
        <w:t xml:space="preserve">BD 110001-2015 </w:t>
      </w:r>
      <w:r>
        <w:rPr>
          <w:rFonts w:hint="eastAsia"/>
          <w:szCs w:val="21"/>
        </w:rPr>
        <w:t>北斗卫星导航术语</w:t>
      </w:r>
    </w:p>
    <w:p w14:paraId="352BED09">
      <w:pPr>
        <w:pStyle w:val="41"/>
        <w:rPr>
          <w:rFonts w:hAnsi="宋体" w:cs="宋体"/>
          <w:szCs w:val="21"/>
        </w:rPr>
      </w:pPr>
      <w:bookmarkStart w:id="52" w:name="_Hlk161049833"/>
      <w:r>
        <w:rPr>
          <w:rFonts w:hAnsi="宋体" w:cs="宋体"/>
          <w:szCs w:val="21"/>
        </w:rPr>
        <w:t xml:space="preserve">BD 420006-2015 </w:t>
      </w:r>
      <w:r>
        <w:rPr>
          <w:rFonts w:hint="eastAsia" w:hAnsi="宋体" w:cs="宋体"/>
          <w:szCs w:val="21"/>
        </w:rPr>
        <w:t>北斗</w:t>
      </w:r>
      <w:r>
        <w:rPr>
          <w:rFonts w:hAnsi="宋体" w:cs="宋体"/>
          <w:szCs w:val="21"/>
        </w:rPr>
        <w:t>/全球卫星导航系统(GNSS)定时单元性能要求及测试方法</w:t>
      </w:r>
      <w:bookmarkEnd w:id="52"/>
    </w:p>
    <w:p w14:paraId="7131387A">
      <w:pPr>
        <w:pStyle w:val="41"/>
        <w:rPr>
          <w:rFonts w:hAnsi="宋体" w:cs="宋体"/>
          <w:szCs w:val="21"/>
        </w:rPr>
      </w:pPr>
      <w:r>
        <w:rPr>
          <w:rFonts w:hAnsi="宋体" w:cs="宋体"/>
          <w:szCs w:val="21"/>
        </w:rPr>
        <w:t xml:space="preserve">BD 420011-2015 </w:t>
      </w:r>
      <w:bookmarkStart w:id="53" w:name="_Hlk161049792"/>
      <w:r>
        <w:rPr>
          <w:rFonts w:hint="eastAsia" w:hAnsi="宋体" w:cs="宋体"/>
          <w:szCs w:val="21"/>
        </w:rPr>
        <w:t>北斗</w:t>
      </w:r>
      <w:r>
        <w:rPr>
          <w:rFonts w:hAnsi="宋体" w:cs="宋体"/>
          <w:szCs w:val="21"/>
        </w:rPr>
        <w:t>/全球卫星导航系统（GNSS）定位设备通用规范</w:t>
      </w:r>
    </w:p>
    <w:bookmarkEnd w:id="53"/>
    <w:p w14:paraId="085081BB">
      <w:pPr>
        <w:pStyle w:val="41"/>
        <w:rPr>
          <w:rFonts w:hAnsi="宋体" w:cs="宋体"/>
          <w:szCs w:val="21"/>
        </w:rPr>
      </w:pPr>
      <w:r>
        <w:rPr>
          <w:rFonts w:hAnsi="宋体" w:cs="宋体"/>
          <w:szCs w:val="21"/>
        </w:rPr>
        <w:t xml:space="preserve">DL/T 698.45 </w:t>
      </w:r>
      <w:r>
        <w:rPr>
          <w:rFonts w:hint="eastAsia" w:hAnsi="宋体" w:cs="宋体"/>
          <w:szCs w:val="21"/>
        </w:rPr>
        <w:t>面向对象的用电信息数据交换协议</w:t>
      </w:r>
    </w:p>
    <w:p w14:paraId="138D9B82">
      <w:pPr>
        <w:pStyle w:val="41"/>
        <w:rPr>
          <w:rFonts w:hAnsi="宋体" w:cs="宋体"/>
          <w:szCs w:val="21"/>
        </w:rPr>
      </w:pPr>
      <w:bookmarkStart w:id="54" w:name="_Hlk161049460"/>
      <w:r>
        <w:rPr>
          <w:rFonts w:hAnsi="宋体" w:cs="宋体"/>
          <w:szCs w:val="21"/>
        </w:rPr>
        <w:t>YD/T 1208-2002 800MHz CDMA</w:t>
      </w:r>
      <w:r>
        <w:rPr>
          <w:rFonts w:hint="eastAsia" w:hAnsi="宋体" w:cs="宋体"/>
          <w:szCs w:val="21"/>
        </w:rPr>
        <w:t>蜂窝移动通信网无线智能网（</w:t>
      </w:r>
      <w:r>
        <w:rPr>
          <w:rFonts w:hAnsi="宋体" w:cs="宋体"/>
          <w:szCs w:val="21"/>
        </w:rPr>
        <w:t>WIN</w:t>
      </w:r>
      <w:r>
        <w:rPr>
          <w:rFonts w:hint="eastAsia" w:hAnsi="宋体" w:cs="宋体"/>
          <w:szCs w:val="21"/>
        </w:rPr>
        <w:t>）阶段</w:t>
      </w:r>
      <w:r>
        <w:rPr>
          <w:rFonts w:hAnsi="宋体" w:cs="宋体"/>
          <w:szCs w:val="21"/>
        </w:rPr>
        <w:t>1</w:t>
      </w:r>
      <w:r>
        <w:rPr>
          <w:rFonts w:hint="eastAsia" w:hAnsi="宋体" w:cs="宋体"/>
          <w:szCs w:val="21"/>
        </w:rPr>
        <w:t>：接口技术要求</w:t>
      </w:r>
    </w:p>
    <w:p w14:paraId="3A938306">
      <w:pPr>
        <w:pStyle w:val="41"/>
        <w:rPr>
          <w:rFonts w:hAnsi="宋体" w:cs="宋体"/>
          <w:szCs w:val="21"/>
        </w:rPr>
      </w:pPr>
      <w:r>
        <w:rPr>
          <w:rFonts w:hAnsi="宋体" w:cs="宋体"/>
          <w:szCs w:val="21"/>
        </w:rPr>
        <w:t>YD/T 1214-2006 900/1800MHz TDMA</w:t>
      </w:r>
      <w:r>
        <w:rPr>
          <w:rFonts w:hint="eastAsia" w:hAnsi="宋体" w:cs="宋体"/>
          <w:szCs w:val="21"/>
        </w:rPr>
        <w:t>数字蜂窝移动通信网通用分组无线业务（</w:t>
      </w:r>
      <w:r>
        <w:rPr>
          <w:rFonts w:hAnsi="宋体" w:cs="宋体"/>
          <w:szCs w:val="21"/>
        </w:rPr>
        <w:t>GPRS</w:t>
      </w:r>
      <w:r>
        <w:rPr>
          <w:rFonts w:hint="eastAsia" w:hAnsi="宋体" w:cs="宋体"/>
          <w:szCs w:val="21"/>
        </w:rPr>
        <w:t>）设备技术要求：移动台</w:t>
      </w:r>
    </w:p>
    <w:p w14:paraId="48164AE1">
      <w:pPr>
        <w:pStyle w:val="41"/>
        <w:rPr>
          <w:rFonts w:hAnsi="宋体" w:cs="宋体"/>
          <w:szCs w:val="21"/>
        </w:rPr>
      </w:pPr>
      <w:r>
        <w:rPr>
          <w:rFonts w:hAnsi="宋体" w:cs="宋体"/>
          <w:szCs w:val="21"/>
        </w:rPr>
        <w:t>YD/T 2576.1-2013 TD-LTE</w:t>
      </w:r>
      <w:r>
        <w:rPr>
          <w:rFonts w:hint="eastAsia" w:hAnsi="宋体" w:cs="宋体"/>
          <w:szCs w:val="21"/>
        </w:rPr>
        <w:t>数字蜂窝移动通信网终端设备测试方法（第一阶段）第</w:t>
      </w:r>
      <w:r>
        <w:rPr>
          <w:rFonts w:hAnsi="宋体" w:cs="宋体"/>
          <w:szCs w:val="21"/>
        </w:rPr>
        <w:t>1</w:t>
      </w:r>
      <w:r>
        <w:rPr>
          <w:rFonts w:hint="eastAsia" w:hAnsi="宋体" w:cs="宋体"/>
          <w:szCs w:val="21"/>
        </w:rPr>
        <w:t>部分：基本功能、业务和可靠性测试</w:t>
      </w:r>
    </w:p>
    <w:p w14:paraId="1A438171">
      <w:pPr>
        <w:pStyle w:val="41"/>
        <w:rPr>
          <w:rFonts w:hAnsi="宋体" w:cs="宋体"/>
          <w:szCs w:val="21"/>
        </w:rPr>
      </w:pPr>
      <w:r>
        <w:rPr>
          <w:rFonts w:hAnsi="宋体" w:cs="宋体"/>
          <w:szCs w:val="21"/>
        </w:rPr>
        <w:t>YD/T 2576.2-2013 TD-LTE</w:t>
      </w:r>
      <w:r>
        <w:rPr>
          <w:rFonts w:hint="eastAsia" w:hAnsi="宋体" w:cs="宋体"/>
          <w:szCs w:val="21"/>
        </w:rPr>
        <w:t>数字蜂窝移动通信网终端设备测试方法</w:t>
      </w:r>
      <w:r>
        <w:rPr>
          <w:rFonts w:hAnsi="宋体" w:cs="宋体"/>
          <w:szCs w:val="21"/>
        </w:rPr>
        <w:t>(</w:t>
      </w:r>
      <w:r>
        <w:rPr>
          <w:rFonts w:hint="eastAsia" w:hAnsi="宋体" w:cs="宋体"/>
          <w:szCs w:val="21"/>
        </w:rPr>
        <w:t>第一阶段</w:t>
      </w:r>
      <w:r>
        <w:rPr>
          <w:rFonts w:hAnsi="宋体" w:cs="宋体"/>
          <w:szCs w:val="21"/>
        </w:rPr>
        <w:t>)</w:t>
      </w:r>
      <w:r>
        <w:rPr>
          <w:rFonts w:hint="eastAsia" w:hAnsi="宋体" w:cs="宋体"/>
          <w:szCs w:val="21"/>
        </w:rPr>
        <w:t>第</w:t>
      </w:r>
      <w:r>
        <w:rPr>
          <w:rFonts w:hAnsi="宋体" w:cs="宋体"/>
          <w:szCs w:val="21"/>
        </w:rPr>
        <w:t>2</w:t>
      </w:r>
      <w:r>
        <w:rPr>
          <w:rFonts w:hint="eastAsia" w:hAnsi="宋体" w:cs="宋体"/>
          <w:szCs w:val="21"/>
        </w:rPr>
        <w:t>部分：射频性能测试</w:t>
      </w:r>
    </w:p>
    <w:p w14:paraId="2AC98E84">
      <w:pPr>
        <w:pStyle w:val="41"/>
        <w:rPr>
          <w:rFonts w:hAnsi="宋体" w:cs="宋体"/>
          <w:szCs w:val="21"/>
        </w:rPr>
      </w:pPr>
      <w:r>
        <w:rPr>
          <w:rFonts w:hAnsi="宋体" w:cs="宋体"/>
          <w:szCs w:val="21"/>
        </w:rPr>
        <w:t>YD/T 2578.1-2013LTE FDD</w:t>
      </w:r>
      <w:r>
        <w:rPr>
          <w:rFonts w:hint="eastAsia" w:hAnsi="宋体" w:cs="宋体"/>
          <w:szCs w:val="21"/>
        </w:rPr>
        <w:t>数字蜂窝移动通信网终端设备测试方法</w:t>
      </w:r>
      <w:r>
        <w:rPr>
          <w:rFonts w:hAnsi="宋体" w:cs="宋体"/>
          <w:szCs w:val="21"/>
        </w:rPr>
        <w:t>(</w:t>
      </w:r>
      <w:r>
        <w:rPr>
          <w:rFonts w:hint="eastAsia" w:hAnsi="宋体" w:cs="宋体"/>
          <w:szCs w:val="21"/>
        </w:rPr>
        <w:t>第一阶段</w:t>
      </w:r>
      <w:r>
        <w:rPr>
          <w:rFonts w:hAnsi="宋体" w:cs="宋体"/>
          <w:szCs w:val="21"/>
        </w:rPr>
        <w:t>)</w:t>
      </w:r>
      <w:r>
        <w:rPr>
          <w:rFonts w:hint="eastAsia" w:hAnsi="宋体" w:cs="宋体"/>
          <w:szCs w:val="21"/>
        </w:rPr>
        <w:t>第</w:t>
      </w:r>
      <w:r>
        <w:rPr>
          <w:rFonts w:hAnsi="宋体" w:cs="宋体"/>
          <w:szCs w:val="21"/>
        </w:rPr>
        <w:t>1</w:t>
      </w:r>
      <w:r>
        <w:rPr>
          <w:rFonts w:hint="eastAsia" w:hAnsi="宋体" w:cs="宋体"/>
          <w:szCs w:val="21"/>
        </w:rPr>
        <w:t>部分：基本功能、业务和可靠性测试</w:t>
      </w:r>
    </w:p>
    <w:p w14:paraId="116D15DA">
      <w:pPr>
        <w:pStyle w:val="41"/>
        <w:rPr>
          <w:rFonts w:hAnsi="宋体" w:cs="宋体"/>
          <w:szCs w:val="21"/>
        </w:rPr>
      </w:pPr>
      <w:r>
        <w:rPr>
          <w:rFonts w:hAnsi="宋体" w:cs="宋体"/>
          <w:szCs w:val="21"/>
        </w:rPr>
        <w:t>YD/T 2578.2-2013 LTE FDD</w:t>
      </w:r>
      <w:r>
        <w:rPr>
          <w:rFonts w:hint="eastAsia" w:hAnsi="宋体" w:cs="宋体"/>
          <w:szCs w:val="21"/>
        </w:rPr>
        <w:t>数字蜂窝移动通信网终端设备测试方法</w:t>
      </w:r>
      <w:r>
        <w:rPr>
          <w:rFonts w:hAnsi="宋体" w:cs="宋体"/>
          <w:szCs w:val="21"/>
        </w:rPr>
        <w:t>(</w:t>
      </w:r>
      <w:r>
        <w:rPr>
          <w:rFonts w:hint="eastAsia" w:hAnsi="宋体" w:cs="宋体"/>
          <w:szCs w:val="21"/>
        </w:rPr>
        <w:t>第一阶段</w:t>
      </w:r>
      <w:r>
        <w:rPr>
          <w:rFonts w:hAnsi="宋体" w:cs="宋体"/>
          <w:szCs w:val="21"/>
        </w:rPr>
        <w:t>)</w:t>
      </w:r>
      <w:r>
        <w:rPr>
          <w:rFonts w:hint="eastAsia" w:hAnsi="宋体" w:cs="宋体"/>
          <w:szCs w:val="21"/>
        </w:rPr>
        <w:t>第</w:t>
      </w:r>
      <w:r>
        <w:rPr>
          <w:rFonts w:hAnsi="宋体" w:cs="宋体"/>
          <w:szCs w:val="21"/>
        </w:rPr>
        <w:t>2</w:t>
      </w:r>
      <w:r>
        <w:rPr>
          <w:rFonts w:hint="eastAsia" w:hAnsi="宋体" w:cs="宋体"/>
          <w:szCs w:val="21"/>
        </w:rPr>
        <w:t>部分：无线射频性能测试</w:t>
      </w:r>
    </w:p>
    <w:p w14:paraId="20EC1301">
      <w:pPr>
        <w:pStyle w:val="41"/>
        <w:rPr>
          <w:rFonts w:hAnsi="宋体" w:cs="宋体"/>
          <w:szCs w:val="21"/>
        </w:rPr>
      </w:pPr>
      <w:r>
        <w:rPr>
          <w:rFonts w:hAnsi="宋体" w:cs="宋体"/>
          <w:szCs w:val="21"/>
        </w:rPr>
        <w:t>T/CIMA0092</w:t>
      </w:r>
      <w:r>
        <w:rPr>
          <w:rFonts w:hint="eastAsia" w:hAnsi="宋体" w:cs="宋体"/>
          <w:szCs w:val="21"/>
        </w:rPr>
        <w:t>.2</w:t>
      </w:r>
      <w:r>
        <w:rPr>
          <w:rFonts w:hAnsi="宋体" w:cs="宋体"/>
          <w:szCs w:val="21"/>
        </w:rPr>
        <w:t>-2024</w:t>
      </w:r>
      <w:r>
        <w:rPr>
          <w:rFonts w:hint="eastAsia" w:hAnsi="宋体" w:cs="宋体"/>
          <w:szCs w:val="21"/>
        </w:rPr>
        <w:t xml:space="preserve"> 采集终端远程通信单元第</w:t>
      </w:r>
      <w:r>
        <w:rPr>
          <w:rFonts w:hAnsi="宋体" w:cs="宋体"/>
          <w:szCs w:val="21"/>
        </w:rPr>
        <w:t>2</w:t>
      </w:r>
      <w:r>
        <w:rPr>
          <w:rFonts w:hint="eastAsia" w:hAnsi="宋体" w:cs="宋体"/>
          <w:szCs w:val="21"/>
        </w:rPr>
        <w:t>部分：通信接口协议</w:t>
      </w:r>
    </w:p>
    <w:p w14:paraId="1BA1D9CB">
      <w:pPr>
        <w:pStyle w:val="41"/>
        <w:rPr>
          <w:rFonts w:hAnsi="宋体" w:cs="宋体"/>
          <w:szCs w:val="21"/>
        </w:rPr>
      </w:pPr>
      <w:r>
        <w:rPr>
          <w:rFonts w:hAnsi="宋体" w:cs="宋体"/>
          <w:szCs w:val="21"/>
        </w:rPr>
        <w:t>T/CIMA0092</w:t>
      </w:r>
      <w:r>
        <w:rPr>
          <w:rFonts w:hint="eastAsia" w:hAnsi="宋体" w:cs="宋体"/>
          <w:szCs w:val="21"/>
        </w:rPr>
        <w:t>.3</w:t>
      </w:r>
      <w:r>
        <w:rPr>
          <w:rFonts w:hAnsi="宋体" w:cs="宋体"/>
          <w:szCs w:val="21"/>
        </w:rPr>
        <w:t>-2024</w:t>
      </w:r>
      <w:r>
        <w:rPr>
          <w:rFonts w:hint="eastAsia" w:hAnsi="宋体" w:cs="宋体"/>
          <w:szCs w:val="21"/>
        </w:rPr>
        <w:t xml:space="preserve"> 采集终端远程通信单元第</w:t>
      </w:r>
      <w:r>
        <w:rPr>
          <w:rFonts w:hAnsi="宋体" w:cs="宋体"/>
          <w:szCs w:val="21"/>
        </w:rPr>
        <w:t>3</w:t>
      </w:r>
      <w:r>
        <w:rPr>
          <w:rFonts w:hint="eastAsia" w:hAnsi="宋体" w:cs="宋体"/>
          <w:szCs w:val="21"/>
        </w:rPr>
        <w:t>部分：型式结构</w:t>
      </w:r>
    </w:p>
    <w:bookmarkEnd w:id="54"/>
    <w:p w14:paraId="2B2CFEB7">
      <w:pPr>
        <w:pStyle w:val="35"/>
        <w:numPr>
          <w:ilvl w:val="0"/>
          <w:numId w:val="14"/>
        </w:numPr>
        <w:spacing w:before="312" w:after="312"/>
      </w:pPr>
      <w:bookmarkStart w:id="55" w:name="_Toc18329"/>
      <w:bookmarkStart w:id="56" w:name="_Toc90668985"/>
      <w:bookmarkStart w:id="57" w:name="_Toc164421245"/>
      <w:bookmarkStart w:id="58" w:name="_Toc329074169"/>
      <w:bookmarkStart w:id="59" w:name="_Toc344136739"/>
      <w:r>
        <w:rPr>
          <w:rFonts w:hint="eastAsia"/>
        </w:rPr>
        <w:t>术语和定义</w:t>
      </w:r>
      <w:bookmarkEnd w:id="55"/>
      <w:bookmarkEnd w:id="56"/>
      <w:bookmarkEnd w:id="57"/>
      <w:bookmarkEnd w:id="58"/>
      <w:bookmarkEnd w:id="59"/>
    </w:p>
    <w:p w14:paraId="78346E45">
      <w:pPr>
        <w:pStyle w:val="41"/>
      </w:pPr>
      <w:r>
        <w:t>GB/T 39267-2020</w:t>
      </w:r>
      <w:r>
        <w:rPr>
          <w:rFonts w:hint="eastAsia"/>
        </w:rPr>
        <w:t>界定</w:t>
      </w:r>
      <w:r>
        <w:t>的以及下列术语和定义适用于本文件。</w:t>
      </w:r>
    </w:p>
    <w:p w14:paraId="0E774B53">
      <w:pPr>
        <w:pStyle w:val="34"/>
        <w:numPr>
          <w:ilvl w:val="1"/>
          <w:numId w:val="14"/>
        </w:numPr>
        <w:spacing w:before="156" w:after="156"/>
      </w:pPr>
      <w:bookmarkStart w:id="60" w:name="_Toc22099"/>
      <w:bookmarkEnd w:id="60"/>
      <w:bookmarkStart w:id="61" w:name="_Toc140756859"/>
      <w:bookmarkEnd w:id="61"/>
      <w:bookmarkStart w:id="62" w:name="_Toc10583"/>
      <w:bookmarkEnd w:id="62"/>
      <w:bookmarkStart w:id="63" w:name="_Toc24225"/>
      <w:bookmarkEnd w:id="63"/>
      <w:bookmarkStart w:id="64" w:name="_Toc19167"/>
      <w:bookmarkEnd w:id="64"/>
      <w:bookmarkStart w:id="65" w:name="_Toc164421246"/>
      <w:bookmarkEnd w:id="65"/>
    </w:p>
    <w:p w14:paraId="1191652E">
      <w:pPr>
        <w:pStyle w:val="36"/>
        <w:numPr>
          <w:ilvl w:val="0"/>
          <w:numId w:val="0"/>
        </w:numPr>
        <w:spacing w:before="156" w:after="156"/>
        <w:ind w:left="480" w:leftChars="200"/>
        <w:outlineLvl w:val="9"/>
      </w:pPr>
      <w:bookmarkStart w:id="66" w:name="_Toc140756860"/>
      <w:bookmarkEnd w:id="66"/>
      <w:bookmarkStart w:id="67" w:name="_Toc29134"/>
      <w:bookmarkEnd w:id="67"/>
      <w:r>
        <w:rPr>
          <w:rFonts w:hint="eastAsia"/>
        </w:rPr>
        <w:t>采集终端远程</w:t>
      </w:r>
      <w:r>
        <w:rPr>
          <w:rFonts w:cs="黑体"/>
          <w:color w:val="000000"/>
          <w:sz w:val="20"/>
          <w:szCs w:val="20"/>
        </w:rPr>
        <w:t>通信单元 r</w:t>
      </w:r>
      <w:r>
        <w:t>emote communication unit of acquisition terminal</w:t>
      </w:r>
    </w:p>
    <w:p w14:paraId="11E347C4">
      <w:pPr>
        <w:pStyle w:val="41"/>
        <w:ind w:left="480" w:leftChars="200" w:firstLine="0" w:firstLineChars="0"/>
        <w:rPr>
          <w:szCs w:val="22"/>
        </w:rPr>
      </w:pPr>
      <w:r>
        <w:rPr>
          <w:rFonts w:hint="eastAsia"/>
          <w:szCs w:val="22"/>
        </w:rPr>
        <w:t>用于用电信息采集系统主站与采集终端之间的通信模块或通信设备，以下简称“通信单元”。</w:t>
      </w:r>
    </w:p>
    <w:p w14:paraId="5744EA91">
      <w:pPr>
        <w:pStyle w:val="34"/>
        <w:numPr>
          <w:ilvl w:val="1"/>
          <w:numId w:val="14"/>
        </w:numPr>
        <w:spacing w:before="156" w:after="156"/>
      </w:pPr>
      <w:bookmarkStart w:id="68" w:name="_Toc164421247"/>
      <w:bookmarkEnd w:id="68"/>
    </w:p>
    <w:p w14:paraId="09E797A4">
      <w:pPr>
        <w:pStyle w:val="36"/>
        <w:numPr>
          <w:ilvl w:val="0"/>
          <w:numId w:val="0"/>
        </w:numPr>
        <w:spacing w:before="156" w:after="156"/>
        <w:ind w:firstLine="525" w:firstLineChars="250"/>
        <w:outlineLvl w:val="9"/>
      </w:pPr>
      <w:r>
        <w:rPr>
          <w:rFonts w:hint="eastAsia"/>
        </w:rPr>
        <w:t>采集终端</w:t>
      </w:r>
      <w:r>
        <w:t>acquisition terminal</w:t>
      </w:r>
    </w:p>
    <w:p w14:paraId="14B135B0">
      <w:pPr>
        <w:pStyle w:val="41"/>
        <w:ind w:firstLine="525" w:firstLineChars="250"/>
      </w:pPr>
      <w:r>
        <w:rPr>
          <w:rFonts w:hint="eastAsia"/>
        </w:rPr>
        <w:t>用于对各个信息采集点用电信息采集的设备，包括</w:t>
      </w:r>
      <w:r>
        <w:t>集中器I型、集中器II型、专变</w:t>
      </w:r>
      <w:r>
        <w:rPr>
          <w:rFonts w:hint="eastAsia"/>
        </w:rPr>
        <w:t>采集终端</w:t>
      </w:r>
      <w:r>
        <w:t>I型、专变</w:t>
      </w:r>
      <w:r>
        <w:rPr>
          <w:rFonts w:hint="eastAsia"/>
        </w:rPr>
        <w:t>采集终端</w:t>
      </w:r>
      <w:r>
        <w:t>III型、</w:t>
      </w:r>
      <w:r>
        <w:rPr>
          <w:rFonts w:hint="eastAsia"/>
        </w:rPr>
        <w:t>专变终端(模组化)</w:t>
      </w:r>
      <w:r>
        <w:t>、</w:t>
      </w:r>
      <w:r>
        <w:rPr>
          <w:rFonts w:hint="eastAsia"/>
        </w:rPr>
        <w:t>台区</w:t>
      </w:r>
      <w:r>
        <w:t>智能融合终端</w:t>
      </w:r>
      <w:r>
        <w:rPr>
          <w:rFonts w:hint="eastAsia"/>
        </w:rPr>
        <w:t>等，</w:t>
      </w:r>
      <w:r>
        <w:rPr>
          <w:rFonts w:hint="eastAsia"/>
          <w:szCs w:val="22"/>
        </w:rPr>
        <w:t>以下简称“终端”</w:t>
      </w:r>
      <w:r>
        <w:rPr>
          <w:rFonts w:hint="eastAsia"/>
        </w:rPr>
        <w:t>。</w:t>
      </w:r>
    </w:p>
    <w:p w14:paraId="6D6562DF">
      <w:pPr>
        <w:pStyle w:val="34"/>
        <w:numPr>
          <w:ilvl w:val="1"/>
          <w:numId w:val="14"/>
        </w:numPr>
        <w:spacing w:before="156" w:after="156"/>
      </w:pPr>
      <w:bookmarkStart w:id="69" w:name="_Toc164421248"/>
      <w:bookmarkEnd w:id="69"/>
      <w:bookmarkStart w:id="70" w:name="_Toc140756861"/>
      <w:bookmarkEnd w:id="70"/>
      <w:bookmarkStart w:id="71" w:name="_Toc21291"/>
      <w:bookmarkEnd w:id="71"/>
    </w:p>
    <w:p w14:paraId="658EFF38">
      <w:pPr>
        <w:pStyle w:val="36"/>
        <w:numPr>
          <w:ilvl w:val="0"/>
          <w:numId w:val="0"/>
        </w:numPr>
        <w:spacing w:before="156" w:after="156"/>
        <w:ind w:firstLine="525" w:firstLineChars="250"/>
        <w:outlineLvl w:val="9"/>
        <w:rPr>
          <w:b/>
          <w:bCs/>
        </w:rPr>
      </w:pPr>
      <w:r>
        <w:rPr>
          <w:rFonts w:hint="eastAsia"/>
        </w:rPr>
        <w:t>精密单点定位p</w:t>
      </w:r>
      <w:r>
        <w:t>recise p</w:t>
      </w:r>
      <w:r>
        <w:rPr>
          <w:rFonts w:hint="eastAsia"/>
        </w:rPr>
        <w:t>o</w:t>
      </w:r>
      <w:r>
        <w:t>int positioning</w:t>
      </w:r>
    </w:p>
    <w:p w14:paraId="39E1EB13">
      <w:pPr>
        <w:pStyle w:val="41"/>
        <w:ind w:firstLine="525" w:firstLineChars="250"/>
      </w:pPr>
      <w:r>
        <w:rPr>
          <w:rFonts w:hint="eastAsia"/>
        </w:rPr>
        <w:t>利用GNSS接收机的载波相位观测值、精密星历和精密卫星钟差实现高精度定位的方式。</w:t>
      </w:r>
    </w:p>
    <w:p w14:paraId="3D58F6E9">
      <w:pPr>
        <w:pStyle w:val="41"/>
        <w:ind w:firstLine="525" w:firstLineChars="250"/>
      </w:pPr>
      <w:r>
        <w:rPr>
          <w:rFonts w:hint="eastAsia"/>
        </w:rPr>
        <w:t>[来源：BD 110001-2015,4.8.4.4]</w:t>
      </w:r>
    </w:p>
    <w:p w14:paraId="54CDA758">
      <w:pPr>
        <w:pStyle w:val="34"/>
        <w:numPr>
          <w:ilvl w:val="1"/>
          <w:numId w:val="14"/>
        </w:numPr>
        <w:spacing w:before="156" w:after="156"/>
      </w:pPr>
      <w:bookmarkStart w:id="72" w:name="_Toc140756862"/>
      <w:bookmarkEnd w:id="72"/>
      <w:bookmarkStart w:id="73" w:name="_Toc32280"/>
      <w:bookmarkEnd w:id="73"/>
      <w:bookmarkStart w:id="74" w:name="_Toc164421249"/>
      <w:bookmarkEnd w:id="74"/>
    </w:p>
    <w:p w14:paraId="7099B448">
      <w:pPr>
        <w:pStyle w:val="36"/>
        <w:numPr>
          <w:ilvl w:val="0"/>
          <w:numId w:val="0"/>
        </w:numPr>
        <w:spacing w:before="156" w:after="156"/>
        <w:ind w:firstLine="525" w:firstLineChars="250"/>
        <w:outlineLvl w:val="9"/>
      </w:pPr>
      <w:r>
        <w:t>捕获灵敏度 acquisition sensitivity</w:t>
      </w:r>
    </w:p>
    <w:p w14:paraId="53A61BC7">
      <w:pPr>
        <w:pStyle w:val="41"/>
        <w:ind w:firstLine="525" w:firstLineChars="250"/>
      </w:pPr>
      <w:r>
        <w:t>冷启动条件下，捕获</w:t>
      </w:r>
      <w:r>
        <w:rPr>
          <w:rFonts w:hint="eastAsia"/>
        </w:rPr>
        <w:t>定位</w:t>
      </w:r>
      <w:r>
        <w:t>信号并正常定位所需的最低信号电平。</w:t>
      </w:r>
    </w:p>
    <w:p w14:paraId="5905E0D6">
      <w:pPr>
        <w:pStyle w:val="41"/>
        <w:ind w:firstLine="525" w:firstLineChars="250"/>
      </w:pPr>
      <w:r>
        <w:rPr>
          <w:rFonts w:hint="eastAsia"/>
        </w:rPr>
        <w:t>[来源：BD 110001-2015,4.2.7，有修改]</w:t>
      </w:r>
    </w:p>
    <w:p w14:paraId="41F92A18">
      <w:pPr>
        <w:pStyle w:val="34"/>
        <w:numPr>
          <w:ilvl w:val="1"/>
          <w:numId w:val="14"/>
        </w:numPr>
        <w:spacing w:before="156" w:after="156"/>
      </w:pPr>
      <w:bookmarkStart w:id="75" w:name="_Toc140756863"/>
      <w:bookmarkEnd w:id="75"/>
      <w:bookmarkStart w:id="76" w:name="_Toc164421250"/>
      <w:bookmarkEnd w:id="76"/>
      <w:bookmarkStart w:id="77" w:name="_Toc28981"/>
      <w:bookmarkEnd w:id="77"/>
    </w:p>
    <w:p w14:paraId="0ED0BB01">
      <w:pPr>
        <w:pStyle w:val="36"/>
        <w:numPr>
          <w:ilvl w:val="0"/>
          <w:numId w:val="0"/>
        </w:numPr>
        <w:spacing w:before="156" w:after="156"/>
        <w:ind w:firstLine="525" w:firstLineChars="250"/>
        <w:outlineLvl w:val="9"/>
      </w:pPr>
      <w:r>
        <w:t>跟踪灵敏度 tracking sensitivity</w:t>
      </w:r>
    </w:p>
    <w:p w14:paraId="78A2D87F">
      <w:pPr>
        <w:pStyle w:val="41"/>
        <w:ind w:firstLine="525" w:firstLineChars="250"/>
      </w:pPr>
      <w:r>
        <w:t>正常定位后，能够继续保持对导航信号的跟踪和定位所需的最低信号电平。</w:t>
      </w:r>
    </w:p>
    <w:p w14:paraId="378DD579">
      <w:pPr>
        <w:pStyle w:val="41"/>
        <w:ind w:firstLine="525" w:firstLineChars="250"/>
      </w:pPr>
      <w:r>
        <w:rPr>
          <w:rFonts w:hint="eastAsia"/>
        </w:rPr>
        <w:t>[来源：BD 110001-2015,4.2.8，有修改]</w:t>
      </w:r>
    </w:p>
    <w:p w14:paraId="2CC87A0D">
      <w:pPr>
        <w:pStyle w:val="34"/>
        <w:numPr>
          <w:ilvl w:val="1"/>
          <w:numId w:val="14"/>
        </w:numPr>
        <w:spacing w:before="156" w:after="156"/>
        <w:rPr>
          <w:rFonts w:ascii="TimesNewRomanPSMT" w:eastAsia="TimesNewRomanPSMT" w:cs="TimesNewRomanPSMT"/>
        </w:rPr>
      </w:pPr>
      <w:bookmarkStart w:id="78" w:name="_Toc140756878"/>
      <w:bookmarkEnd w:id="78"/>
      <w:bookmarkStart w:id="79" w:name="_Toc164421251"/>
      <w:bookmarkEnd w:id="79"/>
      <w:bookmarkStart w:id="80" w:name="_Toc22879"/>
      <w:bookmarkEnd w:id="80"/>
      <w:bookmarkStart w:id="81" w:name="_Toc140756714"/>
      <w:bookmarkEnd w:id="81"/>
      <w:bookmarkStart w:id="82" w:name="_Toc140756864"/>
      <w:bookmarkEnd w:id="82"/>
    </w:p>
    <w:p w14:paraId="21FF053D">
      <w:pPr>
        <w:pStyle w:val="36"/>
        <w:numPr>
          <w:ilvl w:val="0"/>
          <w:numId w:val="0"/>
        </w:numPr>
        <w:spacing w:before="156" w:after="156"/>
        <w:ind w:firstLine="525" w:firstLineChars="250"/>
        <w:outlineLvl w:val="9"/>
      </w:pPr>
      <w:r>
        <w:rPr>
          <w:rFonts w:hint="eastAsia"/>
        </w:rPr>
        <w:t>授时精度</w:t>
      </w:r>
      <w:r>
        <w:t>timing accuracy</w:t>
      </w:r>
    </w:p>
    <w:p w14:paraId="4F78B7B2">
      <w:pPr>
        <w:pStyle w:val="41"/>
        <w:ind w:firstLine="525" w:firstLineChars="250"/>
        <w:rPr>
          <w:szCs w:val="22"/>
        </w:rPr>
      </w:pPr>
      <w:r>
        <w:rPr>
          <w:szCs w:val="22"/>
        </w:rPr>
        <w:t>输出时间与标准时间的偏差程度</w:t>
      </w:r>
      <w:r>
        <w:rPr>
          <w:rFonts w:hint="eastAsia"/>
          <w:szCs w:val="22"/>
        </w:rPr>
        <w:t>。</w:t>
      </w:r>
    </w:p>
    <w:p w14:paraId="084E3320">
      <w:pPr>
        <w:pStyle w:val="41"/>
        <w:ind w:firstLine="525" w:firstLineChars="250"/>
      </w:pPr>
      <w:r>
        <w:rPr>
          <w:rFonts w:hint="eastAsia"/>
        </w:rPr>
        <w:t>[来源：</w:t>
      </w:r>
      <w:r>
        <w:t>GB/T 37937-2019</w:t>
      </w:r>
      <w:r>
        <w:rPr>
          <w:rFonts w:hint="eastAsia"/>
        </w:rPr>
        <w:t>,3.1]</w:t>
      </w:r>
    </w:p>
    <w:p w14:paraId="65F76FE0">
      <w:pPr>
        <w:pStyle w:val="34"/>
        <w:numPr>
          <w:ilvl w:val="1"/>
          <w:numId w:val="14"/>
        </w:numPr>
        <w:spacing w:before="156" w:after="156"/>
        <w:rPr>
          <w:szCs w:val="20"/>
        </w:rPr>
      </w:pPr>
      <w:bookmarkStart w:id="83" w:name="_Toc164421252"/>
      <w:bookmarkEnd w:id="83"/>
    </w:p>
    <w:p w14:paraId="608BD78A">
      <w:pPr>
        <w:pStyle w:val="36"/>
        <w:numPr>
          <w:ilvl w:val="0"/>
          <w:numId w:val="0"/>
        </w:numPr>
        <w:spacing w:before="156" w:after="156"/>
        <w:ind w:firstLine="525" w:firstLineChars="250"/>
        <w:outlineLvl w:val="9"/>
      </w:pPr>
      <w:r>
        <w:rPr>
          <w:rFonts w:hint="eastAsia"/>
        </w:rPr>
        <w:t>模组ID标识module</w:t>
      </w:r>
      <w:r>
        <w:t xml:space="preserve"> ID </w:t>
      </w:r>
      <w:r>
        <w:rPr>
          <w:rFonts w:hint="eastAsia"/>
        </w:rPr>
        <w:t>identification</w:t>
      </w:r>
    </w:p>
    <w:p w14:paraId="6FD8A9F0">
      <w:pPr>
        <w:pStyle w:val="41"/>
        <w:ind w:firstLine="525" w:firstLineChars="250"/>
        <w:rPr>
          <w:szCs w:val="22"/>
        </w:rPr>
      </w:pPr>
      <w:r>
        <w:rPr>
          <w:rFonts w:hint="eastAsia"/>
          <w:szCs w:val="22"/>
        </w:rPr>
        <w:t>每一个采集终端远程通信单元高精度定位模组具有唯一ID标识。</w:t>
      </w:r>
    </w:p>
    <w:p w14:paraId="65FC5019">
      <w:pPr>
        <w:pStyle w:val="41"/>
        <w:ind w:firstLine="450" w:firstLineChars="250"/>
        <w:rPr>
          <w:sz w:val="18"/>
          <w:szCs w:val="18"/>
        </w:rPr>
      </w:pPr>
      <w:r>
        <w:rPr>
          <w:rFonts w:hint="eastAsia" w:ascii="黑体" w:hAnsi="黑体" w:eastAsia="黑体"/>
          <w:sz w:val="18"/>
          <w:szCs w:val="18"/>
        </w:rPr>
        <w:t>注：</w:t>
      </w:r>
      <w:r>
        <w:rPr>
          <w:rFonts w:hint="eastAsia"/>
          <w:sz w:val="18"/>
          <w:szCs w:val="18"/>
        </w:rPr>
        <w:t>该ID具有唯一性，不可篡改、不可伪造，基于该ID可实现在模组出厂、检验、运行等环节实现全流程管理，并通过身份鉴权机制避免非法设备的接入，确保接入设备的合法性和安全性。</w:t>
      </w:r>
    </w:p>
    <w:p w14:paraId="1B99CF49">
      <w:pPr>
        <w:pStyle w:val="35"/>
        <w:numPr>
          <w:ilvl w:val="0"/>
          <w:numId w:val="14"/>
        </w:numPr>
        <w:spacing w:before="312" w:after="312"/>
        <w:rPr>
          <w:szCs w:val="22"/>
        </w:rPr>
      </w:pPr>
      <w:bookmarkStart w:id="84" w:name="_Toc14711"/>
      <w:bookmarkEnd w:id="84"/>
      <w:bookmarkStart w:id="85" w:name="_Toc5624"/>
      <w:bookmarkEnd w:id="85"/>
      <w:bookmarkStart w:id="86" w:name="_Toc11824"/>
      <w:bookmarkEnd w:id="86"/>
      <w:bookmarkStart w:id="87" w:name="_Toc90668987"/>
      <w:bookmarkStart w:id="88" w:name="_Toc164421253"/>
      <w:bookmarkStart w:id="89" w:name="_Toc32217"/>
      <w:bookmarkStart w:id="90" w:name="_Toc118199581"/>
      <w:r>
        <w:rPr>
          <w:rFonts w:hint="eastAsia"/>
          <w:szCs w:val="22"/>
        </w:rPr>
        <w:t>缩略语</w:t>
      </w:r>
      <w:bookmarkEnd w:id="87"/>
      <w:bookmarkEnd w:id="88"/>
      <w:bookmarkEnd w:id="89"/>
      <w:bookmarkEnd w:id="90"/>
    </w:p>
    <w:p w14:paraId="76B1F530">
      <w:pPr>
        <w:pStyle w:val="41"/>
      </w:pPr>
      <w:r>
        <w:t>下列缩略语适用于本文件。</w:t>
      </w:r>
    </w:p>
    <w:p w14:paraId="24183231">
      <w:pPr>
        <w:pStyle w:val="41"/>
      </w:pPr>
      <w:r>
        <w:rPr>
          <w:rFonts w:hint="eastAsia"/>
        </w:rPr>
        <w:t>BDS：北斗卫星导航系统（BeiDou</w:t>
      </w:r>
      <w:r>
        <w:t xml:space="preserve"> Navigation Satellite </w:t>
      </w:r>
      <w:r>
        <w:rPr>
          <w:rFonts w:hint="eastAsia"/>
        </w:rPr>
        <w:t>System）</w:t>
      </w:r>
    </w:p>
    <w:p w14:paraId="4F4A501A">
      <w:pPr>
        <w:pStyle w:val="41"/>
      </w:pPr>
      <w:r>
        <w:t>PPP</w:t>
      </w:r>
      <w:r>
        <w:rPr>
          <w:rFonts w:hint="eastAsia"/>
        </w:rPr>
        <w:t>：精密单点定位（P</w:t>
      </w:r>
      <w:r>
        <w:t>recise Point Positioning</w:t>
      </w:r>
      <w:r>
        <w:rPr>
          <w:rFonts w:hint="eastAsia"/>
        </w:rPr>
        <w:t>）</w:t>
      </w:r>
    </w:p>
    <w:p w14:paraId="70EFC82A">
      <w:pPr>
        <w:pStyle w:val="41"/>
      </w:pPr>
      <w:r>
        <w:rPr>
          <w:rFonts w:hint="eastAsia"/>
        </w:rPr>
        <w:t>FOTA：固件升级（FirmwareOver-The-Air）</w:t>
      </w:r>
    </w:p>
    <w:p w14:paraId="39DEE17A">
      <w:pPr>
        <w:pStyle w:val="41"/>
      </w:pPr>
      <w:r>
        <w:t>1PPS</w:t>
      </w:r>
      <w:r>
        <w:rPr>
          <w:rFonts w:hint="eastAsia"/>
          <w:szCs w:val="21"/>
        </w:rPr>
        <w:t>：</w:t>
      </w:r>
      <w:r>
        <w:rPr>
          <w:rFonts w:hint="eastAsia"/>
        </w:rPr>
        <w:t>秒脉冲(1</w:t>
      </w:r>
      <w:r>
        <w:t xml:space="preserve"> Pulse Per Second)</w:t>
      </w:r>
    </w:p>
    <w:p w14:paraId="367CE6A7">
      <w:pPr>
        <w:pStyle w:val="41"/>
      </w:pPr>
      <w:r>
        <w:t>PDOP</w:t>
      </w:r>
      <w:r>
        <w:rPr>
          <w:rFonts w:hint="eastAsia"/>
          <w:szCs w:val="21"/>
        </w:rPr>
        <w:t>：</w:t>
      </w:r>
      <w:r>
        <w:rPr>
          <w:rFonts w:hint="eastAsia"/>
        </w:rPr>
        <w:t>位置精度因子(Position</w:t>
      </w:r>
      <w:r>
        <w:t xml:space="preserve"> Dilution Of Precision)</w:t>
      </w:r>
    </w:p>
    <w:p w14:paraId="70A96CA2">
      <w:pPr>
        <w:pStyle w:val="41"/>
      </w:pPr>
      <w:r>
        <w:rPr>
          <w:rFonts w:hint="eastAsia"/>
        </w:rPr>
        <w:t>GNSS：全球卫星导航系统（</w:t>
      </w:r>
      <w:r>
        <w:t>Global Navigation Satellite System</w:t>
      </w:r>
      <w:r>
        <w:rPr>
          <w:rFonts w:hint="eastAsia"/>
        </w:rPr>
        <w:t>）</w:t>
      </w:r>
    </w:p>
    <w:p w14:paraId="2EB96622">
      <w:pPr>
        <w:pStyle w:val="41"/>
      </w:pPr>
      <w:r>
        <w:t>UTC:协调世界时(Universal Time Coordinated)</w:t>
      </w:r>
    </w:p>
    <w:p w14:paraId="198FF3C1">
      <w:pPr>
        <w:pStyle w:val="41"/>
      </w:pPr>
      <w:r>
        <w:t>TDD</w:t>
      </w:r>
      <w:r>
        <w:rPr>
          <w:rFonts w:hint="eastAsia"/>
        </w:rPr>
        <w:t>：</w:t>
      </w:r>
      <w:r>
        <w:t>时分双工</w:t>
      </w:r>
      <w:r>
        <w:rPr>
          <w:rFonts w:hint="eastAsia"/>
        </w:rPr>
        <w:t>(Time Division Duplexing)</w:t>
      </w:r>
    </w:p>
    <w:p w14:paraId="4286FEF1">
      <w:pPr>
        <w:pStyle w:val="41"/>
      </w:pPr>
      <w:r>
        <w:t>FDD</w:t>
      </w:r>
      <w:r>
        <w:rPr>
          <w:rFonts w:hint="eastAsia"/>
        </w:rPr>
        <w:t>：</w:t>
      </w:r>
      <w:r>
        <w:t>频分双工</w:t>
      </w:r>
      <w:r>
        <w:rPr>
          <w:rFonts w:hint="eastAsia"/>
        </w:rPr>
        <w:t>(</w:t>
      </w:r>
      <w:r>
        <w:t>Frequency Division Duplexing</w:t>
      </w:r>
      <w:r>
        <w:rPr>
          <w:rFonts w:hint="eastAsia"/>
        </w:rPr>
        <w:t>)</w:t>
      </w:r>
    </w:p>
    <w:p w14:paraId="4FEF367F">
      <w:pPr>
        <w:pStyle w:val="35"/>
        <w:numPr>
          <w:ilvl w:val="0"/>
          <w:numId w:val="14"/>
        </w:numPr>
        <w:spacing w:before="312" w:after="312"/>
      </w:pPr>
      <w:bookmarkStart w:id="91" w:name="_Toc90668988"/>
      <w:bookmarkStart w:id="92" w:name="_Toc164421254"/>
      <w:bookmarkStart w:id="93" w:name="_Toc22"/>
      <w:r>
        <w:rPr>
          <w:rFonts w:hint="eastAsia"/>
        </w:rPr>
        <w:t>技术要求</w:t>
      </w:r>
      <w:bookmarkEnd w:id="91"/>
      <w:bookmarkEnd w:id="92"/>
      <w:bookmarkEnd w:id="93"/>
    </w:p>
    <w:p w14:paraId="270A82E6">
      <w:pPr>
        <w:pStyle w:val="130"/>
      </w:pPr>
      <w:bookmarkStart w:id="94" w:name="_Toc164421255"/>
      <w:r>
        <w:t>环境条件</w:t>
      </w:r>
      <w:bookmarkEnd w:id="94"/>
    </w:p>
    <w:p w14:paraId="594C8672">
      <w:pPr>
        <w:pStyle w:val="36"/>
        <w:numPr>
          <w:ilvl w:val="2"/>
          <w:numId w:val="14"/>
        </w:numPr>
        <w:spacing w:before="156" w:after="156"/>
        <w:ind w:left="463" w:leftChars="193"/>
      </w:pPr>
      <w:r>
        <w:t xml:space="preserve">参比温度及参比湿度 </w:t>
      </w:r>
    </w:p>
    <w:p w14:paraId="67CEBBE6">
      <w:pPr>
        <w:pStyle w:val="41"/>
        <w:ind w:left="180" w:leftChars="75" w:firstLine="630" w:firstLineChars="300"/>
      </w:pPr>
      <w:r>
        <w:t xml:space="preserve">参比温度为 23℃；参比湿度为 40%～60%。 </w:t>
      </w:r>
    </w:p>
    <w:p w14:paraId="010B4365">
      <w:pPr>
        <w:pStyle w:val="36"/>
        <w:numPr>
          <w:ilvl w:val="2"/>
          <w:numId w:val="14"/>
        </w:numPr>
        <w:spacing w:before="156" w:after="156"/>
        <w:ind w:left="463" w:leftChars="193"/>
      </w:pPr>
      <w:r>
        <w:t xml:space="preserve">温湿度范围 </w:t>
      </w:r>
    </w:p>
    <w:p w14:paraId="28252F31">
      <w:pPr>
        <w:pStyle w:val="41"/>
        <w:ind w:left="180" w:leftChars="75" w:firstLine="630" w:firstLineChars="300"/>
      </w:pPr>
      <w:r>
        <w:rPr>
          <w:rFonts w:hint="eastAsia"/>
        </w:rPr>
        <w:t>通信单元</w:t>
      </w:r>
      <w:r>
        <w:t>正常运行的气候环境条件</w:t>
      </w:r>
      <w:r>
        <w:rPr>
          <w:rFonts w:hint="eastAsia" w:ascii="TimesNewRomanPSMT" w:hAnsi="TimesNewRomanPSMT"/>
          <w:szCs w:val="21"/>
        </w:rPr>
        <w:t>应符合</w:t>
      </w:r>
      <w:r>
        <w:t>表1</w:t>
      </w:r>
      <w:r>
        <w:rPr>
          <w:rFonts w:hint="eastAsia"/>
        </w:rPr>
        <w:t>的规定</w:t>
      </w:r>
      <w:r>
        <w:t xml:space="preserve">。 </w:t>
      </w:r>
    </w:p>
    <w:p w14:paraId="359038CE">
      <w:pPr>
        <w:pStyle w:val="54"/>
        <w:spacing w:before="156" w:after="156"/>
        <w:ind w:left="0"/>
      </w:pPr>
      <w:r>
        <w:rPr>
          <w:rFonts w:hint="eastAsia"/>
        </w:rPr>
        <w:t>气候环境条件分类</w:t>
      </w:r>
    </w:p>
    <w:tbl>
      <w:tblPr>
        <w:tblStyle w:val="25"/>
        <w:tblW w:w="95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6"/>
        <w:gridCol w:w="974"/>
        <w:gridCol w:w="1698"/>
        <w:gridCol w:w="1751"/>
        <w:gridCol w:w="1987"/>
        <w:gridCol w:w="1644"/>
      </w:tblGrid>
      <w:tr w14:paraId="170674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16" w:type="dxa"/>
            <w:vMerge w:val="restart"/>
            <w:vAlign w:val="center"/>
          </w:tcPr>
          <w:p w14:paraId="78DFF92F">
            <w:pPr>
              <w:topLinePunct/>
              <w:snapToGrid w:val="0"/>
              <w:spacing w:before="60" w:after="60"/>
              <w:jc w:val="center"/>
              <w:rPr>
                <w:color w:val="000000"/>
                <w:sz w:val="18"/>
                <w:szCs w:val="21"/>
              </w:rPr>
            </w:pPr>
            <w:r>
              <w:rPr>
                <w:rFonts w:hint="eastAsia"/>
                <w:color w:val="000000"/>
                <w:sz w:val="18"/>
                <w:szCs w:val="21"/>
              </w:rPr>
              <w:t>场所类型</w:t>
            </w:r>
          </w:p>
        </w:tc>
        <w:tc>
          <w:tcPr>
            <w:tcW w:w="974" w:type="dxa"/>
            <w:vMerge w:val="restart"/>
            <w:vAlign w:val="center"/>
          </w:tcPr>
          <w:p w14:paraId="43676707">
            <w:pPr>
              <w:topLinePunct/>
              <w:snapToGrid w:val="0"/>
              <w:spacing w:before="60" w:after="60"/>
              <w:ind w:left="180" w:leftChars="75"/>
              <w:jc w:val="center"/>
              <w:rPr>
                <w:color w:val="000000"/>
                <w:sz w:val="18"/>
                <w:szCs w:val="21"/>
              </w:rPr>
            </w:pPr>
            <w:r>
              <w:rPr>
                <w:rFonts w:hint="eastAsia"/>
                <w:color w:val="000000"/>
                <w:sz w:val="18"/>
                <w:szCs w:val="21"/>
              </w:rPr>
              <w:t>级别</w:t>
            </w:r>
          </w:p>
        </w:tc>
        <w:tc>
          <w:tcPr>
            <w:tcW w:w="3449" w:type="dxa"/>
            <w:gridSpan w:val="2"/>
            <w:vAlign w:val="center"/>
          </w:tcPr>
          <w:p w14:paraId="70E84132">
            <w:pPr>
              <w:topLinePunct/>
              <w:snapToGrid w:val="0"/>
              <w:spacing w:before="60" w:after="60"/>
              <w:ind w:left="180" w:leftChars="75"/>
              <w:jc w:val="center"/>
              <w:rPr>
                <w:color w:val="000000"/>
                <w:sz w:val="18"/>
                <w:szCs w:val="21"/>
              </w:rPr>
            </w:pPr>
            <w:r>
              <w:rPr>
                <w:rFonts w:hint="eastAsia"/>
                <w:color w:val="000000"/>
                <w:sz w:val="18"/>
                <w:szCs w:val="21"/>
              </w:rPr>
              <w:t>空　气　温　度</w:t>
            </w:r>
          </w:p>
        </w:tc>
        <w:tc>
          <w:tcPr>
            <w:tcW w:w="3631" w:type="dxa"/>
            <w:gridSpan w:val="2"/>
            <w:vAlign w:val="center"/>
          </w:tcPr>
          <w:p w14:paraId="191A0A36">
            <w:pPr>
              <w:topLinePunct/>
              <w:snapToGrid w:val="0"/>
              <w:spacing w:before="60" w:after="60"/>
              <w:ind w:left="180" w:leftChars="75"/>
              <w:jc w:val="center"/>
              <w:rPr>
                <w:color w:val="000000"/>
                <w:sz w:val="18"/>
                <w:szCs w:val="21"/>
              </w:rPr>
            </w:pPr>
            <w:r>
              <w:rPr>
                <w:rFonts w:hint="eastAsia"/>
                <w:color w:val="000000"/>
                <w:sz w:val="18"/>
                <w:szCs w:val="21"/>
              </w:rPr>
              <w:t>湿　　度</w:t>
            </w:r>
          </w:p>
        </w:tc>
      </w:tr>
      <w:tr w14:paraId="75E1EC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516" w:type="dxa"/>
            <w:vMerge w:val="continue"/>
            <w:vAlign w:val="center"/>
          </w:tcPr>
          <w:p w14:paraId="6DB37675">
            <w:pPr>
              <w:topLinePunct/>
              <w:snapToGrid w:val="0"/>
              <w:spacing w:before="60" w:after="60"/>
              <w:ind w:left="180" w:leftChars="75"/>
              <w:jc w:val="center"/>
              <w:rPr>
                <w:color w:val="000000"/>
                <w:sz w:val="18"/>
                <w:szCs w:val="21"/>
              </w:rPr>
            </w:pPr>
          </w:p>
        </w:tc>
        <w:tc>
          <w:tcPr>
            <w:tcW w:w="974" w:type="dxa"/>
            <w:vMerge w:val="continue"/>
            <w:vAlign w:val="center"/>
          </w:tcPr>
          <w:p w14:paraId="18D449C9">
            <w:pPr>
              <w:topLinePunct/>
              <w:snapToGrid w:val="0"/>
              <w:spacing w:before="60" w:after="60"/>
              <w:ind w:left="180" w:leftChars="75"/>
              <w:jc w:val="center"/>
              <w:rPr>
                <w:color w:val="000000"/>
                <w:sz w:val="18"/>
                <w:szCs w:val="21"/>
              </w:rPr>
            </w:pPr>
          </w:p>
        </w:tc>
        <w:tc>
          <w:tcPr>
            <w:tcW w:w="1698" w:type="dxa"/>
            <w:vAlign w:val="center"/>
          </w:tcPr>
          <w:p w14:paraId="231F716C">
            <w:pPr>
              <w:topLinePunct/>
              <w:snapToGrid w:val="0"/>
              <w:spacing w:before="60" w:after="60"/>
              <w:ind w:left="180" w:leftChars="75"/>
              <w:jc w:val="center"/>
              <w:rPr>
                <w:color w:val="000000"/>
                <w:sz w:val="18"/>
                <w:szCs w:val="21"/>
              </w:rPr>
            </w:pPr>
            <w:r>
              <w:rPr>
                <w:rFonts w:hint="eastAsia"/>
                <w:color w:val="000000"/>
                <w:sz w:val="18"/>
                <w:szCs w:val="21"/>
              </w:rPr>
              <w:t>范围</w:t>
            </w:r>
            <w:r>
              <w:rPr>
                <w:rFonts w:hint="eastAsia"/>
                <w:color w:val="000000"/>
                <w:sz w:val="18"/>
                <w:szCs w:val="21"/>
              </w:rPr>
              <w:br w:type="textWrapping"/>
            </w:r>
            <w:r>
              <w:rPr>
                <w:rFonts w:hint="eastAsia"/>
                <w:color w:val="000000"/>
                <w:sz w:val="18"/>
                <w:szCs w:val="21"/>
              </w:rPr>
              <w:t>℃</w:t>
            </w:r>
          </w:p>
        </w:tc>
        <w:tc>
          <w:tcPr>
            <w:tcW w:w="1751" w:type="dxa"/>
            <w:vAlign w:val="center"/>
          </w:tcPr>
          <w:p w14:paraId="084F0811">
            <w:pPr>
              <w:topLinePunct/>
              <w:snapToGrid w:val="0"/>
              <w:spacing w:before="60" w:after="60"/>
              <w:ind w:left="180" w:leftChars="75"/>
              <w:jc w:val="center"/>
              <w:rPr>
                <w:color w:val="000000"/>
                <w:sz w:val="18"/>
                <w:szCs w:val="21"/>
              </w:rPr>
            </w:pPr>
            <w:r>
              <w:rPr>
                <w:rFonts w:hint="eastAsia"/>
                <w:color w:val="000000"/>
                <w:sz w:val="18"/>
                <w:szCs w:val="21"/>
              </w:rPr>
              <w:t>最大变化率</w:t>
            </w:r>
            <w:r>
              <w:rPr>
                <w:color w:val="000000"/>
                <w:sz w:val="18"/>
                <w:szCs w:val="21"/>
                <w:vertAlign w:val="superscript"/>
              </w:rPr>
              <w:t>a</w:t>
            </w:r>
            <w:r>
              <w:rPr>
                <w:rFonts w:hint="eastAsia"/>
                <w:color w:val="000000"/>
                <w:sz w:val="18"/>
                <w:szCs w:val="21"/>
              </w:rPr>
              <w:br w:type="textWrapping"/>
            </w:r>
            <w:r>
              <w:rPr>
                <w:rFonts w:hint="eastAsia"/>
                <w:color w:val="000000"/>
                <w:sz w:val="18"/>
                <w:szCs w:val="21"/>
              </w:rPr>
              <w:t>℃</w:t>
            </w:r>
            <w:r>
              <w:rPr>
                <w:color w:val="000000"/>
                <w:sz w:val="18"/>
                <w:szCs w:val="21"/>
              </w:rPr>
              <w:t>/h</w:t>
            </w:r>
          </w:p>
        </w:tc>
        <w:tc>
          <w:tcPr>
            <w:tcW w:w="1987" w:type="dxa"/>
            <w:vAlign w:val="center"/>
          </w:tcPr>
          <w:p w14:paraId="5AF520C2">
            <w:pPr>
              <w:topLinePunct/>
              <w:snapToGrid w:val="0"/>
              <w:spacing w:before="60" w:after="60"/>
              <w:ind w:left="180" w:leftChars="75"/>
              <w:jc w:val="center"/>
              <w:rPr>
                <w:color w:val="000000"/>
                <w:sz w:val="18"/>
                <w:szCs w:val="21"/>
              </w:rPr>
            </w:pPr>
            <w:r>
              <w:rPr>
                <w:rFonts w:hint="eastAsia"/>
                <w:color w:val="000000"/>
                <w:sz w:val="18"/>
                <w:szCs w:val="21"/>
              </w:rPr>
              <w:t>相对湿度</w:t>
            </w:r>
            <w:r>
              <w:rPr>
                <w:color w:val="000000"/>
                <w:sz w:val="18"/>
                <w:szCs w:val="21"/>
                <w:vertAlign w:val="superscript"/>
              </w:rPr>
              <w:t>b</w:t>
            </w:r>
            <w:r>
              <w:rPr>
                <w:rFonts w:hint="eastAsia"/>
                <w:color w:val="000000"/>
                <w:sz w:val="18"/>
                <w:szCs w:val="21"/>
              </w:rPr>
              <w:br w:type="textWrapping"/>
            </w:r>
            <w:r>
              <w:rPr>
                <w:color w:val="000000"/>
                <w:sz w:val="18"/>
                <w:szCs w:val="21"/>
              </w:rPr>
              <w:t>％</w:t>
            </w:r>
          </w:p>
        </w:tc>
        <w:tc>
          <w:tcPr>
            <w:tcW w:w="1644" w:type="dxa"/>
            <w:vAlign w:val="center"/>
          </w:tcPr>
          <w:p w14:paraId="08F68F3E">
            <w:pPr>
              <w:topLinePunct/>
              <w:snapToGrid w:val="0"/>
              <w:spacing w:before="60" w:after="60"/>
              <w:ind w:left="180" w:leftChars="75"/>
              <w:jc w:val="center"/>
              <w:rPr>
                <w:color w:val="000000"/>
                <w:sz w:val="18"/>
                <w:szCs w:val="21"/>
              </w:rPr>
            </w:pPr>
            <w:r>
              <w:rPr>
                <w:rFonts w:hint="eastAsia"/>
                <w:color w:val="000000"/>
                <w:sz w:val="18"/>
                <w:szCs w:val="21"/>
              </w:rPr>
              <w:t>最大绝对湿度</w:t>
            </w:r>
            <w:r>
              <w:rPr>
                <w:rFonts w:hint="eastAsia"/>
                <w:color w:val="000000"/>
                <w:sz w:val="18"/>
                <w:szCs w:val="21"/>
              </w:rPr>
              <w:br w:type="textWrapping"/>
            </w:r>
            <w:r>
              <w:rPr>
                <w:color w:val="000000"/>
                <w:sz w:val="18"/>
                <w:szCs w:val="21"/>
              </w:rPr>
              <w:t>g/m</w:t>
            </w:r>
            <w:r>
              <w:rPr>
                <w:color w:val="000000"/>
                <w:sz w:val="18"/>
                <w:szCs w:val="21"/>
                <w:vertAlign w:val="superscript"/>
              </w:rPr>
              <w:t>3</w:t>
            </w:r>
          </w:p>
        </w:tc>
      </w:tr>
      <w:tr w14:paraId="47FB08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516" w:type="dxa"/>
            <w:vMerge w:val="restart"/>
            <w:vAlign w:val="center"/>
          </w:tcPr>
          <w:p w14:paraId="7729A734">
            <w:pPr>
              <w:topLinePunct/>
              <w:snapToGrid w:val="0"/>
              <w:spacing w:before="60" w:after="60"/>
              <w:ind w:left="180" w:leftChars="75"/>
              <w:jc w:val="center"/>
              <w:rPr>
                <w:color w:val="000000"/>
                <w:sz w:val="18"/>
                <w:szCs w:val="21"/>
              </w:rPr>
            </w:pPr>
            <w:r>
              <w:rPr>
                <w:rFonts w:hint="eastAsia"/>
                <w:color w:val="000000"/>
                <w:sz w:val="18"/>
                <w:szCs w:val="21"/>
              </w:rPr>
              <w:t>遮蔽</w:t>
            </w:r>
          </w:p>
        </w:tc>
        <w:tc>
          <w:tcPr>
            <w:tcW w:w="974" w:type="dxa"/>
            <w:vAlign w:val="center"/>
          </w:tcPr>
          <w:p w14:paraId="14007918">
            <w:pPr>
              <w:topLinePunct/>
              <w:snapToGrid w:val="0"/>
              <w:spacing w:before="60" w:after="60"/>
              <w:ind w:left="180" w:leftChars="75"/>
              <w:jc w:val="center"/>
              <w:rPr>
                <w:color w:val="000000"/>
                <w:sz w:val="18"/>
                <w:szCs w:val="21"/>
              </w:rPr>
            </w:pPr>
            <w:r>
              <w:rPr>
                <w:color w:val="000000"/>
                <w:sz w:val="18"/>
                <w:szCs w:val="21"/>
              </w:rPr>
              <w:t>C1</w:t>
            </w:r>
          </w:p>
        </w:tc>
        <w:tc>
          <w:tcPr>
            <w:tcW w:w="1698" w:type="dxa"/>
            <w:vAlign w:val="center"/>
          </w:tcPr>
          <w:p w14:paraId="7132434A">
            <w:pPr>
              <w:topLinePunct/>
              <w:snapToGrid w:val="0"/>
              <w:spacing w:before="60" w:after="60"/>
              <w:ind w:left="180" w:leftChars="75"/>
              <w:jc w:val="center"/>
              <w:rPr>
                <w:color w:val="000000"/>
                <w:sz w:val="18"/>
                <w:szCs w:val="21"/>
              </w:rPr>
            </w:pPr>
            <w:r>
              <w:rPr>
                <w:rFonts w:ascii="Symbol" w:hAnsi="Symbol"/>
                <w:color w:val="000000"/>
                <w:sz w:val="18"/>
                <w:szCs w:val="21"/>
              </w:rPr>
              <w:t></w:t>
            </w:r>
            <w:r>
              <w:rPr>
                <w:color w:val="000000"/>
                <w:sz w:val="18"/>
                <w:szCs w:val="21"/>
              </w:rPr>
              <w:t>5～45</w:t>
            </w:r>
          </w:p>
        </w:tc>
        <w:tc>
          <w:tcPr>
            <w:tcW w:w="1751" w:type="dxa"/>
            <w:vAlign w:val="center"/>
          </w:tcPr>
          <w:p w14:paraId="304C6937">
            <w:pPr>
              <w:topLinePunct/>
              <w:snapToGrid w:val="0"/>
              <w:spacing w:before="60" w:after="60"/>
              <w:ind w:left="180" w:leftChars="75"/>
              <w:jc w:val="center"/>
              <w:rPr>
                <w:color w:val="000000"/>
                <w:sz w:val="18"/>
                <w:szCs w:val="21"/>
              </w:rPr>
            </w:pPr>
            <w:r>
              <w:rPr>
                <w:color w:val="000000"/>
                <w:sz w:val="18"/>
                <w:szCs w:val="21"/>
              </w:rPr>
              <w:t>0.5</w:t>
            </w:r>
          </w:p>
        </w:tc>
        <w:tc>
          <w:tcPr>
            <w:tcW w:w="1987" w:type="dxa"/>
            <w:vAlign w:val="center"/>
          </w:tcPr>
          <w:p w14:paraId="7E6D3C37">
            <w:pPr>
              <w:topLinePunct/>
              <w:snapToGrid w:val="0"/>
              <w:spacing w:before="60" w:after="60"/>
              <w:ind w:left="180" w:leftChars="75"/>
              <w:jc w:val="center"/>
              <w:rPr>
                <w:color w:val="000000"/>
                <w:sz w:val="18"/>
                <w:szCs w:val="21"/>
              </w:rPr>
            </w:pPr>
            <w:r>
              <w:rPr>
                <w:color w:val="000000"/>
                <w:sz w:val="18"/>
                <w:szCs w:val="21"/>
              </w:rPr>
              <w:t>5</w:t>
            </w:r>
            <w:r>
              <w:rPr>
                <w:rFonts w:hint="eastAsia"/>
                <w:color w:val="000000"/>
                <w:sz w:val="18"/>
                <w:szCs w:val="21"/>
              </w:rPr>
              <w:t>～</w:t>
            </w:r>
            <w:r>
              <w:rPr>
                <w:color w:val="000000"/>
                <w:sz w:val="18"/>
                <w:szCs w:val="21"/>
              </w:rPr>
              <w:t>95</w:t>
            </w:r>
          </w:p>
        </w:tc>
        <w:tc>
          <w:tcPr>
            <w:tcW w:w="1644" w:type="dxa"/>
            <w:vMerge w:val="restart"/>
            <w:vAlign w:val="center"/>
          </w:tcPr>
          <w:p w14:paraId="3FAC16FF">
            <w:pPr>
              <w:topLinePunct/>
              <w:snapToGrid w:val="0"/>
              <w:spacing w:before="60" w:after="60"/>
              <w:ind w:left="180" w:leftChars="75"/>
              <w:jc w:val="center"/>
              <w:rPr>
                <w:color w:val="000000"/>
                <w:sz w:val="18"/>
                <w:szCs w:val="21"/>
              </w:rPr>
            </w:pPr>
            <w:r>
              <w:rPr>
                <w:color w:val="000000"/>
                <w:sz w:val="18"/>
                <w:szCs w:val="21"/>
              </w:rPr>
              <w:t>29</w:t>
            </w:r>
          </w:p>
        </w:tc>
      </w:tr>
      <w:tr w14:paraId="395E6D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516" w:type="dxa"/>
            <w:vMerge w:val="continue"/>
            <w:vAlign w:val="center"/>
          </w:tcPr>
          <w:p w14:paraId="048CB9D3">
            <w:pPr>
              <w:topLinePunct/>
              <w:snapToGrid w:val="0"/>
              <w:spacing w:before="60" w:after="60"/>
              <w:ind w:left="180" w:leftChars="75"/>
              <w:jc w:val="center"/>
              <w:rPr>
                <w:color w:val="000000"/>
                <w:sz w:val="18"/>
                <w:szCs w:val="21"/>
              </w:rPr>
            </w:pPr>
          </w:p>
        </w:tc>
        <w:tc>
          <w:tcPr>
            <w:tcW w:w="974" w:type="dxa"/>
            <w:vAlign w:val="center"/>
          </w:tcPr>
          <w:p w14:paraId="25C18CF9">
            <w:pPr>
              <w:topLinePunct/>
              <w:snapToGrid w:val="0"/>
              <w:spacing w:before="60" w:after="60"/>
              <w:ind w:left="180" w:leftChars="75"/>
              <w:jc w:val="center"/>
              <w:rPr>
                <w:color w:val="000000"/>
                <w:sz w:val="18"/>
                <w:szCs w:val="21"/>
              </w:rPr>
            </w:pPr>
            <w:r>
              <w:rPr>
                <w:color w:val="000000"/>
                <w:sz w:val="18"/>
                <w:szCs w:val="21"/>
              </w:rPr>
              <w:t>C2</w:t>
            </w:r>
          </w:p>
        </w:tc>
        <w:tc>
          <w:tcPr>
            <w:tcW w:w="1698" w:type="dxa"/>
            <w:vAlign w:val="center"/>
          </w:tcPr>
          <w:p w14:paraId="0D4A0493">
            <w:pPr>
              <w:topLinePunct/>
              <w:snapToGrid w:val="0"/>
              <w:spacing w:before="60" w:after="60"/>
              <w:ind w:left="180" w:leftChars="75"/>
              <w:jc w:val="center"/>
              <w:rPr>
                <w:color w:val="000000"/>
                <w:sz w:val="18"/>
                <w:szCs w:val="21"/>
              </w:rPr>
            </w:pPr>
            <w:r>
              <w:rPr>
                <w:rFonts w:ascii="Symbol" w:hAnsi="Symbol"/>
                <w:color w:val="000000"/>
                <w:sz w:val="18"/>
                <w:szCs w:val="21"/>
              </w:rPr>
              <w:t></w:t>
            </w:r>
            <w:r>
              <w:rPr>
                <w:color w:val="000000"/>
                <w:sz w:val="18"/>
                <w:szCs w:val="21"/>
              </w:rPr>
              <w:t>25～55</w:t>
            </w:r>
          </w:p>
        </w:tc>
        <w:tc>
          <w:tcPr>
            <w:tcW w:w="1751" w:type="dxa"/>
            <w:vAlign w:val="center"/>
          </w:tcPr>
          <w:p w14:paraId="6B9E4641">
            <w:pPr>
              <w:topLinePunct/>
              <w:snapToGrid w:val="0"/>
              <w:spacing w:before="60" w:after="60"/>
              <w:ind w:left="180" w:leftChars="75"/>
              <w:jc w:val="center"/>
              <w:rPr>
                <w:color w:val="000000"/>
                <w:sz w:val="18"/>
                <w:szCs w:val="21"/>
              </w:rPr>
            </w:pPr>
            <w:r>
              <w:rPr>
                <w:color w:val="000000"/>
                <w:sz w:val="18"/>
                <w:szCs w:val="21"/>
              </w:rPr>
              <w:t>0.5</w:t>
            </w:r>
          </w:p>
        </w:tc>
        <w:tc>
          <w:tcPr>
            <w:tcW w:w="1987" w:type="dxa"/>
            <w:vMerge w:val="restart"/>
            <w:vAlign w:val="center"/>
          </w:tcPr>
          <w:p w14:paraId="31FA1710">
            <w:pPr>
              <w:topLinePunct/>
              <w:snapToGrid w:val="0"/>
              <w:spacing w:before="60" w:after="60"/>
              <w:ind w:left="180" w:leftChars="75"/>
              <w:jc w:val="center"/>
              <w:rPr>
                <w:color w:val="000000"/>
                <w:sz w:val="18"/>
                <w:szCs w:val="21"/>
              </w:rPr>
            </w:pPr>
            <w:r>
              <w:rPr>
                <w:color w:val="000000"/>
                <w:sz w:val="18"/>
                <w:szCs w:val="21"/>
              </w:rPr>
              <w:t>10</w:t>
            </w:r>
            <w:r>
              <w:rPr>
                <w:rFonts w:hint="eastAsia"/>
                <w:color w:val="000000"/>
                <w:sz w:val="18"/>
                <w:szCs w:val="21"/>
              </w:rPr>
              <w:t>～</w:t>
            </w:r>
            <w:r>
              <w:rPr>
                <w:color w:val="000000"/>
                <w:sz w:val="18"/>
                <w:szCs w:val="21"/>
              </w:rPr>
              <w:t>100</w:t>
            </w:r>
          </w:p>
        </w:tc>
        <w:tc>
          <w:tcPr>
            <w:tcW w:w="1644" w:type="dxa"/>
            <w:vMerge w:val="continue"/>
            <w:vAlign w:val="center"/>
          </w:tcPr>
          <w:p w14:paraId="62538692">
            <w:pPr>
              <w:topLinePunct/>
              <w:snapToGrid w:val="0"/>
              <w:spacing w:before="60" w:after="60"/>
              <w:ind w:left="180" w:leftChars="75"/>
              <w:jc w:val="center"/>
              <w:rPr>
                <w:color w:val="000000"/>
                <w:sz w:val="18"/>
                <w:szCs w:val="21"/>
              </w:rPr>
            </w:pPr>
          </w:p>
        </w:tc>
      </w:tr>
      <w:tr w14:paraId="4AEA5D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516" w:type="dxa"/>
            <w:vAlign w:val="center"/>
          </w:tcPr>
          <w:p w14:paraId="76886A4B">
            <w:pPr>
              <w:topLinePunct/>
              <w:snapToGrid w:val="0"/>
              <w:spacing w:before="60" w:after="60"/>
              <w:ind w:left="180" w:leftChars="75"/>
              <w:jc w:val="center"/>
              <w:rPr>
                <w:color w:val="000000"/>
                <w:sz w:val="18"/>
                <w:szCs w:val="21"/>
              </w:rPr>
            </w:pPr>
            <w:r>
              <w:rPr>
                <w:rFonts w:hint="eastAsia"/>
                <w:color w:val="000000"/>
                <w:sz w:val="18"/>
                <w:szCs w:val="21"/>
              </w:rPr>
              <w:t>户外</w:t>
            </w:r>
          </w:p>
        </w:tc>
        <w:tc>
          <w:tcPr>
            <w:tcW w:w="974" w:type="dxa"/>
            <w:vAlign w:val="center"/>
          </w:tcPr>
          <w:p w14:paraId="6A62C285">
            <w:pPr>
              <w:topLinePunct/>
              <w:snapToGrid w:val="0"/>
              <w:spacing w:before="60" w:after="60"/>
              <w:ind w:left="180" w:leftChars="75"/>
              <w:jc w:val="center"/>
              <w:rPr>
                <w:color w:val="000000"/>
                <w:sz w:val="18"/>
                <w:szCs w:val="21"/>
              </w:rPr>
            </w:pPr>
            <w:r>
              <w:rPr>
                <w:color w:val="000000"/>
                <w:sz w:val="18"/>
                <w:szCs w:val="21"/>
              </w:rPr>
              <w:t>C3</w:t>
            </w:r>
          </w:p>
        </w:tc>
        <w:tc>
          <w:tcPr>
            <w:tcW w:w="1698" w:type="dxa"/>
            <w:vAlign w:val="center"/>
          </w:tcPr>
          <w:p w14:paraId="69CD4B25">
            <w:pPr>
              <w:topLinePunct/>
              <w:snapToGrid w:val="0"/>
              <w:spacing w:before="60" w:after="60"/>
              <w:ind w:left="180" w:leftChars="75"/>
              <w:jc w:val="center"/>
              <w:rPr>
                <w:color w:val="000000"/>
                <w:sz w:val="18"/>
                <w:szCs w:val="21"/>
              </w:rPr>
            </w:pPr>
            <w:r>
              <w:rPr>
                <w:rFonts w:ascii="Symbol" w:hAnsi="Symbol"/>
                <w:color w:val="000000"/>
                <w:sz w:val="18"/>
                <w:szCs w:val="21"/>
              </w:rPr>
              <w:t></w:t>
            </w:r>
            <w:r>
              <w:rPr>
                <w:color w:val="000000"/>
                <w:sz w:val="18"/>
                <w:szCs w:val="21"/>
              </w:rPr>
              <w:t>40～70</w:t>
            </w:r>
          </w:p>
        </w:tc>
        <w:tc>
          <w:tcPr>
            <w:tcW w:w="1751" w:type="dxa"/>
            <w:vAlign w:val="center"/>
          </w:tcPr>
          <w:p w14:paraId="03C8BAB0">
            <w:pPr>
              <w:topLinePunct/>
              <w:snapToGrid w:val="0"/>
              <w:spacing w:before="60" w:after="60"/>
              <w:ind w:left="180" w:leftChars="75"/>
              <w:jc w:val="center"/>
              <w:rPr>
                <w:color w:val="000000"/>
                <w:sz w:val="18"/>
                <w:szCs w:val="21"/>
              </w:rPr>
            </w:pPr>
            <w:r>
              <w:rPr>
                <w:color w:val="000000"/>
                <w:sz w:val="18"/>
                <w:szCs w:val="21"/>
              </w:rPr>
              <w:t>1</w:t>
            </w:r>
          </w:p>
        </w:tc>
        <w:tc>
          <w:tcPr>
            <w:tcW w:w="1987" w:type="dxa"/>
            <w:vMerge w:val="continue"/>
            <w:vAlign w:val="center"/>
          </w:tcPr>
          <w:p w14:paraId="46AEA929">
            <w:pPr>
              <w:topLinePunct/>
              <w:snapToGrid w:val="0"/>
              <w:spacing w:before="60" w:after="60"/>
              <w:ind w:left="180" w:leftChars="75"/>
              <w:jc w:val="center"/>
              <w:rPr>
                <w:color w:val="000000"/>
                <w:sz w:val="18"/>
                <w:szCs w:val="21"/>
              </w:rPr>
            </w:pPr>
          </w:p>
        </w:tc>
        <w:tc>
          <w:tcPr>
            <w:tcW w:w="1644" w:type="dxa"/>
            <w:vAlign w:val="center"/>
          </w:tcPr>
          <w:p w14:paraId="359C5EB7">
            <w:pPr>
              <w:topLinePunct/>
              <w:snapToGrid w:val="0"/>
              <w:spacing w:before="60" w:after="60"/>
              <w:ind w:left="180" w:leftChars="75"/>
              <w:jc w:val="center"/>
              <w:rPr>
                <w:color w:val="000000"/>
                <w:sz w:val="18"/>
                <w:szCs w:val="21"/>
              </w:rPr>
            </w:pPr>
            <w:r>
              <w:rPr>
                <w:color w:val="000000"/>
                <w:sz w:val="18"/>
                <w:szCs w:val="21"/>
              </w:rPr>
              <w:t>35</w:t>
            </w:r>
          </w:p>
        </w:tc>
      </w:tr>
      <w:tr w14:paraId="372110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570" w:type="dxa"/>
            <w:gridSpan w:val="6"/>
            <w:vAlign w:val="center"/>
          </w:tcPr>
          <w:p w14:paraId="1C16F0D0">
            <w:pPr>
              <w:topLinePunct/>
              <w:snapToGrid w:val="0"/>
              <w:spacing w:before="60" w:after="60"/>
              <w:ind w:left="180" w:leftChars="75"/>
              <w:rPr>
                <w:color w:val="000000"/>
                <w:sz w:val="18"/>
                <w:szCs w:val="21"/>
              </w:rPr>
            </w:pPr>
            <w:r>
              <w:rPr>
                <w:rFonts w:hint="eastAsia"/>
                <w:color w:val="000000"/>
                <w:sz w:val="18"/>
                <w:szCs w:val="21"/>
                <w:vertAlign w:val="superscript"/>
              </w:rPr>
              <w:t xml:space="preserve">a   </w:t>
            </w:r>
            <w:r>
              <w:rPr>
                <w:rFonts w:hint="eastAsia"/>
                <w:color w:val="000000"/>
                <w:sz w:val="18"/>
                <w:szCs w:val="21"/>
              </w:rPr>
              <w:t>温度变化率取</w:t>
            </w:r>
            <w:r>
              <w:rPr>
                <w:color w:val="000000"/>
                <w:sz w:val="18"/>
                <w:szCs w:val="21"/>
              </w:rPr>
              <w:t>5min</w:t>
            </w:r>
            <w:r>
              <w:rPr>
                <w:rFonts w:hint="eastAsia"/>
                <w:color w:val="000000"/>
                <w:sz w:val="18"/>
                <w:szCs w:val="21"/>
              </w:rPr>
              <w:t>内的平均值。</w:t>
            </w:r>
            <w:r>
              <w:rPr>
                <w:color w:val="000000"/>
                <w:sz w:val="18"/>
                <w:szCs w:val="21"/>
              </w:rPr>
              <w:br w:type="textWrapping"/>
            </w:r>
            <w:r>
              <w:rPr>
                <w:rFonts w:hint="eastAsia"/>
                <w:color w:val="000000"/>
                <w:sz w:val="18"/>
                <w:szCs w:val="21"/>
                <w:vertAlign w:val="superscript"/>
              </w:rPr>
              <w:t xml:space="preserve">b   </w:t>
            </w:r>
            <w:r>
              <w:rPr>
                <w:rFonts w:hint="eastAsia"/>
                <w:color w:val="000000"/>
                <w:sz w:val="18"/>
                <w:szCs w:val="21"/>
              </w:rPr>
              <w:t>相对湿度包括凝露。</w:t>
            </w:r>
          </w:p>
        </w:tc>
      </w:tr>
    </w:tbl>
    <w:p w14:paraId="0A8A0177">
      <w:pPr>
        <w:pStyle w:val="36"/>
        <w:numPr>
          <w:ilvl w:val="2"/>
          <w:numId w:val="14"/>
        </w:numPr>
        <w:spacing w:before="156" w:after="156"/>
        <w:ind w:left="463" w:leftChars="193"/>
      </w:pPr>
      <w:r>
        <w:t xml:space="preserve">大气压力 </w:t>
      </w:r>
    </w:p>
    <w:p w14:paraId="6B66D751">
      <w:pPr>
        <w:pStyle w:val="41"/>
        <w:ind w:firstLine="840" w:firstLineChars="400"/>
        <w:rPr>
          <w:szCs w:val="21"/>
        </w:rPr>
      </w:pPr>
      <w:r>
        <w:t>海拔4000m及以下。</w:t>
      </w:r>
    </w:p>
    <w:p w14:paraId="635F3B41">
      <w:pPr>
        <w:pStyle w:val="34"/>
        <w:numPr>
          <w:ilvl w:val="1"/>
          <w:numId w:val="14"/>
        </w:numPr>
        <w:spacing w:before="156" w:after="156"/>
        <w:ind w:left="180" w:leftChars="75"/>
      </w:pPr>
      <w:bookmarkStart w:id="95" w:name="_Toc7218"/>
      <w:bookmarkStart w:id="96" w:name="_Toc164421256"/>
      <w:r>
        <w:rPr>
          <w:rFonts w:hint="eastAsia"/>
        </w:rPr>
        <w:t>电源</w:t>
      </w:r>
      <w:bookmarkEnd w:id="95"/>
      <w:bookmarkEnd w:id="96"/>
    </w:p>
    <w:p w14:paraId="57711E21">
      <w:pPr>
        <w:pStyle w:val="41"/>
      </w:pPr>
      <w:r>
        <w:rPr>
          <w:rFonts w:hint="eastAsia"/>
        </w:rPr>
        <w:t>通信单元工作电压分为：</w:t>
      </w:r>
    </w:p>
    <w:p w14:paraId="299DB8F2">
      <w:pPr>
        <w:pStyle w:val="41"/>
      </w:pPr>
      <w:r>
        <w:rPr>
          <w:rFonts w:hint="eastAsia"/>
        </w:rPr>
        <w:t>a)工作电压：</w:t>
      </w:r>
      <w:r>
        <w:t>DC4V，误差±5%，峰值电流不超过3A，平均功率</w:t>
      </w:r>
      <w:r>
        <w:rPr>
          <w:rFonts w:hint="eastAsia"/>
        </w:rPr>
        <w:t>应符合表</w:t>
      </w:r>
      <w:r>
        <w:t>2</w:t>
      </w:r>
      <w:r>
        <w:rPr>
          <w:rFonts w:hint="eastAsia"/>
        </w:rPr>
        <w:t>的规定。</w:t>
      </w:r>
    </w:p>
    <w:p w14:paraId="22CCF767">
      <w:pPr>
        <w:pStyle w:val="41"/>
      </w:pPr>
      <w:r>
        <w:rPr>
          <w:rFonts w:hint="eastAsia"/>
        </w:rPr>
        <w:t>终端类型：集中器I型、集中器II型、</w:t>
      </w:r>
      <w:r>
        <w:t>专变采集终端Ⅰ型</w:t>
      </w:r>
      <w:r>
        <w:rPr>
          <w:rFonts w:hint="eastAsia"/>
        </w:rPr>
        <w:t>、</w:t>
      </w:r>
      <w:r>
        <w:t>专变采集终端</w:t>
      </w:r>
      <w:r>
        <w:rPr>
          <w:rFonts w:hint="eastAsia"/>
        </w:rPr>
        <w:t>III</w:t>
      </w:r>
      <w:r>
        <w:t>型</w:t>
      </w:r>
      <w:r>
        <w:rPr>
          <w:rFonts w:hint="eastAsia"/>
        </w:rPr>
        <w:t>、台区智能融合终端。</w:t>
      </w:r>
    </w:p>
    <w:p w14:paraId="2C3BFBF1">
      <w:pPr>
        <w:pStyle w:val="41"/>
      </w:pPr>
      <w:r>
        <w:rPr>
          <w:rFonts w:hint="eastAsia"/>
        </w:rPr>
        <w:t>b)工作电压：</w:t>
      </w:r>
      <w:r>
        <w:t>DC5V，误差±10%，峰值电流不超过3A，平均功率应符合表2</w:t>
      </w:r>
      <w:r>
        <w:rPr>
          <w:rFonts w:hint="eastAsia"/>
        </w:rPr>
        <w:t>的规定。</w:t>
      </w:r>
    </w:p>
    <w:p w14:paraId="143D1802">
      <w:pPr>
        <w:pStyle w:val="41"/>
      </w:pPr>
      <w:r>
        <w:rPr>
          <w:rFonts w:hint="eastAsia"/>
        </w:rPr>
        <w:t>终端类型：专变终端(模组化)。</w:t>
      </w:r>
    </w:p>
    <w:p w14:paraId="06CEB4D6">
      <w:pPr>
        <w:pStyle w:val="54"/>
        <w:spacing w:before="156" w:after="156"/>
        <w:ind w:left="0"/>
      </w:pPr>
      <w:r>
        <w:rPr>
          <w:rFonts w:hint="eastAsia"/>
        </w:rPr>
        <w:t>平均功率要求</w:t>
      </w:r>
    </w:p>
    <w:tbl>
      <w:tblPr>
        <w:tblStyle w:val="25"/>
        <w:tblW w:w="957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785"/>
        <w:gridCol w:w="4785"/>
      </w:tblGrid>
      <w:tr w14:paraId="316FC1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85" w:type="dxa"/>
            <w:vAlign w:val="center"/>
          </w:tcPr>
          <w:p w14:paraId="42FC1A62">
            <w:pPr>
              <w:ind w:left="180" w:leftChars="75"/>
              <w:jc w:val="center"/>
              <w:rPr>
                <w:sz w:val="18"/>
                <w:szCs w:val="18"/>
              </w:rPr>
            </w:pPr>
            <w:r>
              <w:rPr>
                <w:rFonts w:hint="eastAsia"/>
                <w:sz w:val="18"/>
                <w:szCs w:val="18"/>
              </w:rPr>
              <w:t>网络制式</w:t>
            </w:r>
          </w:p>
        </w:tc>
        <w:tc>
          <w:tcPr>
            <w:tcW w:w="4785" w:type="dxa"/>
            <w:vAlign w:val="center"/>
          </w:tcPr>
          <w:p w14:paraId="5C8CF49F">
            <w:pPr>
              <w:ind w:left="180" w:leftChars="75"/>
              <w:jc w:val="center"/>
              <w:rPr>
                <w:sz w:val="18"/>
                <w:szCs w:val="18"/>
              </w:rPr>
            </w:pPr>
            <w:r>
              <w:rPr>
                <w:rFonts w:hint="eastAsia"/>
                <w:sz w:val="18"/>
                <w:szCs w:val="18"/>
              </w:rPr>
              <w:t>平均功率</w:t>
            </w:r>
          </w:p>
          <w:p w14:paraId="26915B7E">
            <w:pPr>
              <w:ind w:left="180" w:leftChars="75"/>
              <w:jc w:val="center"/>
              <w:rPr>
                <w:sz w:val="18"/>
                <w:szCs w:val="18"/>
              </w:rPr>
            </w:pPr>
            <w:r>
              <w:rPr>
                <w:sz w:val="18"/>
                <w:szCs w:val="18"/>
              </w:rPr>
              <w:t>W</w:t>
            </w:r>
          </w:p>
        </w:tc>
      </w:tr>
      <w:tr w14:paraId="6FFBF0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85" w:type="dxa"/>
          </w:tcPr>
          <w:p w14:paraId="2760EA5B">
            <w:pPr>
              <w:ind w:left="180" w:leftChars="75"/>
              <w:jc w:val="center"/>
              <w:rPr>
                <w:sz w:val="18"/>
                <w:szCs w:val="18"/>
              </w:rPr>
            </w:pPr>
            <w:r>
              <w:rPr>
                <w:sz w:val="18"/>
                <w:szCs w:val="18"/>
              </w:rPr>
              <w:t>4G</w:t>
            </w:r>
          </w:p>
        </w:tc>
        <w:tc>
          <w:tcPr>
            <w:tcW w:w="4785" w:type="dxa"/>
          </w:tcPr>
          <w:p w14:paraId="4C0B7E5F">
            <w:pPr>
              <w:ind w:left="180" w:leftChars="75"/>
              <w:jc w:val="center"/>
              <w:rPr>
                <w:sz w:val="18"/>
                <w:szCs w:val="18"/>
              </w:rPr>
            </w:pPr>
            <w:r>
              <w:rPr>
                <w:rFonts w:hint="eastAsia"/>
                <w:sz w:val="18"/>
                <w:szCs w:val="18"/>
              </w:rPr>
              <w:t>≤</w:t>
            </w:r>
            <w:r>
              <w:rPr>
                <w:sz w:val="18"/>
                <w:szCs w:val="18"/>
              </w:rPr>
              <w:t>4</w:t>
            </w:r>
          </w:p>
        </w:tc>
      </w:tr>
      <w:tr w14:paraId="07254E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85" w:type="dxa"/>
          </w:tcPr>
          <w:p w14:paraId="2F38183A">
            <w:pPr>
              <w:ind w:left="180" w:leftChars="75"/>
              <w:jc w:val="center"/>
              <w:rPr>
                <w:sz w:val="18"/>
                <w:szCs w:val="18"/>
              </w:rPr>
            </w:pPr>
            <w:r>
              <w:rPr>
                <w:sz w:val="18"/>
                <w:szCs w:val="18"/>
              </w:rPr>
              <w:t>5G</w:t>
            </w:r>
          </w:p>
        </w:tc>
        <w:tc>
          <w:tcPr>
            <w:tcW w:w="4785" w:type="dxa"/>
          </w:tcPr>
          <w:p w14:paraId="160634D3">
            <w:pPr>
              <w:ind w:left="180" w:leftChars="75"/>
              <w:jc w:val="center"/>
              <w:rPr>
                <w:sz w:val="18"/>
                <w:szCs w:val="18"/>
              </w:rPr>
            </w:pPr>
            <w:r>
              <w:rPr>
                <w:rFonts w:hint="eastAsia"/>
                <w:sz w:val="18"/>
                <w:szCs w:val="18"/>
              </w:rPr>
              <w:t>≤</w:t>
            </w:r>
            <w:r>
              <w:rPr>
                <w:sz w:val="18"/>
                <w:szCs w:val="18"/>
              </w:rPr>
              <w:t>8</w:t>
            </w:r>
          </w:p>
        </w:tc>
      </w:tr>
    </w:tbl>
    <w:p w14:paraId="3D46575F">
      <w:pPr>
        <w:pStyle w:val="34"/>
        <w:numPr>
          <w:ilvl w:val="1"/>
          <w:numId w:val="9"/>
        </w:numPr>
        <w:spacing w:before="156" w:after="156"/>
      </w:pPr>
      <w:bookmarkStart w:id="97" w:name="_Toc86321591"/>
      <w:bookmarkStart w:id="98" w:name="_Toc85741763"/>
      <w:bookmarkStart w:id="99" w:name="_Toc85643609"/>
      <w:bookmarkStart w:id="100" w:name="_Toc85739988"/>
      <w:bookmarkStart w:id="101" w:name="_Toc8376"/>
      <w:bookmarkStart w:id="102" w:name="_Toc6734"/>
      <w:bookmarkStart w:id="103" w:name="_Toc21523"/>
      <w:bookmarkStart w:id="104" w:name="_Toc85736398"/>
      <w:bookmarkStart w:id="105" w:name="_Toc86096511"/>
      <w:bookmarkStart w:id="106" w:name="_Toc97565767"/>
      <w:bookmarkStart w:id="107" w:name="_Toc164421257"/>
      <w:r>
        <w:rPr>
          <w:rFonts w:hint="eastAsia"/>
        </w:rPr>
        <w:t>机械</w:t>
      </w:r>
      <w:bookmarkEnd w:id="97"/>
      <w:bookmarkEnd w:id="98"/>
      <w:bookmarkEnd w:id="99"/>
      <w:bookmarkEnd w:id="100"/>
      <w:bookmarkEnd w:id="101"/>
      <w:bookmarkEnd w:id="102"/>
      <w:bookmarkEnd w:id="103"/>
      <w:bookmarkEnd w:id="104"/>
      <w:bookmarkEnd w:id="105"/>
      <w:bookmarkEnd w:id="106"/>
      <w:r>
        <w:rPr>
          <w:rFonts w:hint="eastAsia"/>
        </w:rPr>
        <w:t>要求</w:t>
      </w:r>
      <w:bookmarkEnd w:id="107"/>
    </w:p>
    <w:p w14:paraId="4E92AC08">
      <w:pPr>
        <w:pStyle w:val="36"/>
        <w:numPr>
          <w:ilvl w:val="2"/>
          <w:numId w:val="14"/>
        </w:numPr>
        <w:tabs>
          <w:tab w:val="center" w:pos="4201"/>
          <w:tab w:val="right" w:leader="dot" w:pos="9298"/>
        </w:tabs>
        <w:spacing w:before="156" w:after="156"/>
      </w:pPr>
      <w:r>
        <w:rPr>
          <w:rFonts w:hint="eastAsia"/>
        </w:rPr>
        <w:t>一般要求</w:t>
      </w:r>
    </w:p>
    <w:p w14:paraId="6BDE848C">
      <w:pPr>
        <w:pStyle w:val="41"/>
      </w:pPr>
      <w:r>
        <w:rPr>
          <w:rFonts w:hint="eastAsia"/>
        </w:rPr>
        <w:t>通信单元型式结构应符合</w:t>
      </w:r>
      <w:r>
        <w:rPr>
          <w:szCs w:val="21"/>
        </w:rPr>
        <w:t>T/CIMA0092</w:t>
      </w:r>
      <w:r>
        <w:rPr>
          <w:rFonts w:hint="eastAsia"/>
          <w:szCs w:val="21"/>
        </w:rPr>
        <w:t>.</w:t>
      </w:r>
      <w:r>
        <w:rPr>
          <w:szCs w:val="21"/>
        </w:rPr>
        <w:t>3-2024</w:t>
      </w:r>
      <w:r>
        <w:rPr>
          <w:rFonts w:hint="eastAsia"/>
          <w:szCs w:val="21"/>
        </w:rPr>
        <w:t>的规定。</w:t>
      </w:r>
    </w:p>
    <w:p w14:paraId="528FE04D">
      <w:pPr>
        <w:pStyle w:val="36"/>
        <w:numPr>
          <w:ilvl w:val="2"/>
          <w:numId w:val="14"/>
        </w:numPr>
        <w:tabs>
          <w:tab w:val="center" w:pos="4201"/>
          <w:tab w:val="right" w:leader="dot" w:pos="9298"/>
        </w:tabs>
        <w:spacing w:before="156" w:after="156"/>
      </w:pPr>
      <w:bookmarkStart w:id="108" w:name="_Hlk161048478"/>
      <w:r>
        <w:rPr>
          <w:rFonts w:hint="eastAsia"/>
        </w:rPr>
        <w:t>外壳及其防护性能</w:t>
      </w:r>
    </w:p>
    <w:bookmarkEnd w:id="108"/>
    <w:p w14:paraId="749CC41C">
      <w:pPr>
        <w:pStyle w:val="41"/>
      </w:pPr>
      <w:r>
        <w:rPr>
          <w:rFonts w:hint="eastAsia"/>
        </w:rPr>
        <w:t>应符合</w:t>
      </w:r>
      <w:bookmarkStart w:id="109" w:name="_Hlk161048500"/>
      <w:r>
        <w:t>GB/T 4208-2017</w:t>
      </w:r>
      <w:bookmarkEnd w:id="109"/>
      <w:r>
        <w:t>IP51</w:t>
      </w:r>
      <w:r>
        <w:rPr>
          <w:rFonts w:hint="eastAsia"/>
        </w:rPr>
        <w:t>级的规定要求。</w:t>
      </w:r>
    </w:p>
    <w:p w14:paraId="3D1C53B8">
      <w:pPr>
        <w:pStyle w:val="36"/>
        <w:numPr>
          <w:ilvl w:val="2"/>
          <w:numId w:val="14"/>
        </w:numPr>
        <w:tabs>
          <w:tab w:val="center" w:pos="4201"/>
          <w:tab w:val="right" w:leader="dot" w:pos="9298"/>
        </w:tabs>
        <w:spacing w:before="156" w:after="156"/>
      </w:pPr>
      <w:bookmarkStart w:id="110" w:name="_Hlk161048514"/>
      <w:r>
        <w:rPr>
          <w:rFonts w:hint="eastAsia"/>
        </w:rPr>
        <w:t>耐热阻燃要求</w:t>
      </w:r>
    </w:p>
    <w:bookmarkEnd w:id="110"/>
    <w:p w14:paraId="02C482E7">
      <w:pPr>
        <w:pStyle w:val="41"/>
      </w:pPr>
      <w:r>
        <w:rPr>
          <w:rFonts w:hint="eastAsia"/>
        </w:rPr>
        <w:t>应符合</w:t>
      </w:r>
      <w:bookmarkStart w:id="111" w:name="_Hlk161048521"/>
      <w:r>
        <w:t>GB/T 5169.11-2017</w:t>
      </w:r>
      <w:bookmarkEnd w:id="111"/>
      <w:r>
        <w:rPr>
          <w:rFonts w:hint="eastAsia"/>
        </w:rPr>
        <w:t>的规定要求</w:t>
      </w:r>
      <w:r>
        <w:t>。</w:t>
      </w:r>
    </w:p>
    <w:p w14:paraId="47DE8F37">
      <w:pPr>
        <w:pStyle w:val="34"/>
        <w:numPr>
          <w:ilvl w:val="1"/>
          <w:numId w:val="9"/>
        </w:numPr>
        <w:spacing w:before="156" w:after="156"/>
      </w:pPr>
      <w:bookmarkStart w:id="112" w:name="_Toc16659"/>
      <w:bookmarkStart w:id="113" w:name="_Toc14898"/>
      <w:bookmarkStart w:id="114" w:name="_Toc164421258"/>
      <w:bookmarkStart w:id="115" w:name="_Toc85736401"/>
      <w:bookmarkStart w:id="116" w:name="_Toc14438"/>
      <w:bookmarkStart w:id="117" w:name="_Toc86096514"/>
      <w:bookmarkStart w:id="118" w:name="_Toc85739991"/>
      <w:bookmarkStart w:id="119" w:name="_Toc85643612"/>
      <w:bookmarkStart w:id="120" w:name="_Toc85741766"/>
      <w:bookmarkStart w:id="121" w:name="_Toc9844"/>
      <w:bookmarkStart w:id="122" w:name="_Toc97565770"/>
      <w:bookmarkStart w:id="123" w:name="_Toc12678"/>
      <w:bookmarkStart w:id="124" w:name="_Toc86321594"/>
      <w:r>
        <w:rPr>
          <w:rFonts w:hint="eastAsia"/>
        </w:rPr>
        <w:t>电气</w:t>
      </w:r>
      <w:bookmarkEnd w:id="112"/>
      <w:r>
        <w:rPr>
          <w:rFonts w:hint="eastAsia"/>
        </w:rPr>
        <w:t>要求</w:t>
      </w:r>
      <w:bookmarkEnd w:id="113"/>
      <w:bookmarkEnd w:id="114"/>
    </w:p>
    <w:p w14:paraId="40290CC5">
      <w:pPr>
        <w:pStyle w:val="36"/>
        <w:numPr>
          <w:ilvl w:val="2"/>
          <w:numId w:val="9"/>
        </w:numPr>
        <w:spacing w:before="156" w:after="156"/>
        <w:ind w:left="708"/>
      </w:pPr>
      <w:r>
        <w:rPr>
          <w:rFonts w:hint="eastAsia"/>
        </w:rPr>
        <w:t>绝缘强度</w:t>
      </w:r>
    </w:p>
    <w:p w14:paraId="01DBBF9B">
      <w:pPr>
        <w:widowControl w:val="0"/>
        <w:autoSpaceDE w:val="0"/>
        <w:autoSpaceDN w:val="0"/>
        <w:adjustRightInd w:val="0"/>
        <w:ind w:firstLine="420" w:firstLineChars="200"/>
        <w:rPr>
          <w:rFonts w:hAnsi="Times New Roman"/>
          <w:sz w:val="21"/>
          <w:szCs w:val="21"/>
        </w:rPr>
      </w:pPr>
      <w:r>
        <w:rPr>
          <w:rFonts w:hint="eastAsia" w:hAnsi="Times New Roman"/>
          <w:sz w:val="21"/>
          <w:szCs w:val="21"/>
        </w:rPr>
        <w:t>电源回路对地应耐受</w:t>
      </w:r>
      <w:r>
        <w:rPr>
          <w:rFonts w:ascii="TimesNewRomanPSMT" w:hAnsi="Times New Roman" w:eastAsia="TimesNewRomanPSMT" w:cs="TimesNewRomanPSMT"/>
          <w:sz w:val="21"/>
          <w:szCs w:val="21"/>
        </w:rPr>
        <w:t>500V</w:t>
      </w:r>
      <w:r>
        <w:rPr>
          <w:rFonts w:hint="eastAsia" w:hAnsi="Times New Roman"/>
          <w:sz w:val="21"/>
          <w:szCs w:val="21"/>
        </w:rPr>
        <w:t>（低于</w:t>
      </w:r>
      <w:r>
        <w:rPr>
          <w:rFonts w:ascii="TimesNewRomanPSMT" w:hAnsi="Times New Roman" w:eastAsia="TimesNewRomanPSMT" w:cs="TimesNewRomanPSMT"/>
          <w:sz w:val="21"/>
          <w:szCs w:val="21"/>
        </w:rPr>
        <w:t xml:space="preserve">60V </w:t>
      </w:r>
      <w:r>
        <w:rPr>
          <w:rFonts w:hint="eastAsia" w:hAnsi="Times New Roman"/>
          <w:sz w:val="21"/>
          <w:szCs w:val="21"/>
        </w:rPr>
        <w:t>直流电源回路）或</w:t>
      </w:r>
      <w:r>
        <w:rPr>
          <w:rFonts w:ascii="TimesNewRomanPSMT" w:hAnsi="Times New Roman" w:eastAsia="TimesNewRomanPSMT" w:cs="TimesNewRomanPSMT"/>
          <w:sz w:val="21"/>
          <w:szCs w:val="21"/>
        </w:rPr>
        <w:t>2500V</w:t>
      </w:r>
      <w:r>
        <w:rPr>
          <w:rFonts w:hint="eastAsia" w:hAnsi="Times New Roman"/>
          <w:sz w:val="21"/>
          <w:szCs w:val="21"/>
        </w:rPr>
        <w:t>（</w:t>
      </w:r>
      <w:r>
        <w:rPr>
          <w:rFonts w:ascii="TimesNewRomanPSMT" w:hAnsi="Times New Roman" w:eastAsia="TimesNewRomanPSMT" w:cs="TimesNewRomanPSMT"/>
          <w:sz w:val="21"/>
          <w:szCs w:val="21"/>
        </w:rPr>
        <w:t xml:space="preserve">220V </w:t>
      </w:r>
      <w:r>
        <w:rPr>
          <w:rFonts w:hint="eastAsia" w:hAnsi="Times New Roman"/>
          <w:sz w:val="21"/>
          <w:szCs w:val="21"/>
        </w:rPr>
        <w:t>交流电源回路）的</w:t>
      </w:r>
      <w:r>
        <w:rPr>
          <w:rFonts w:ascii="TimesNewRomanPSMT" w:hAnsi="Times New Roman" w:eastAsia="TimesNewRomanPSMT" w:cs="TimesNewRomanPSMT"/>
          <w:sz w:val="21"/>
          <w:szCs w:val="21"/>
        </w:rPr>
        <w:t xml:space="preserve">50Hz </w:t>
      </w:r>
      <w:r>
        <w:rPr>
          <w:rFonts w:hint="eastAsia" w:hAnsi="Times New Roman"/>
          <w:sz w:val="21"/>
          <w:szCs w:val="21"/>
        </w:rPr>
        <w:t>的交流电压，历时</w:t>
      </w:r>
      <w:r>
        <w:rPr>
          <w:rFonts w:hAnsi="Times New Roman"/>
          <w:sz w:val="21"/>
          <w:szCs w:val="21"/>
        </w:rPr>
        <w:t>1min</w:t>
      </w:r>
      <w:r>
        <w:rPr>
          <w:rFonts w:hint="eastAsia" w:hAnsi="Times New Roman"/>
          <w:sz w:val="21"/>
          <w:szCs w:val="21"/>
        </w:rPr>
        <w:t>的绝缘强度试验。试验时不得出现击穿、闪络现象，泄漏电流应不大于</w:t>
      </w:r>
      <w:r>
        <w:rPr>
          <w:rFonts w:hAnsi="Times New Roman"/>
          <w:sz w:val="21"/>
          <w:szCs w:val="21"/>
        </w:rPr>
        <w:t>5mA</w:t>
      </w:r>
      <w:r>
        <w:rPr>
          <w:rFonts w:hint="eastAsia" w:hAnsi="Times New Roman"/>
          <w:sz w:val="21"/>
          <w:szCs w:val="21"/>
        </w:rPr>
        <w:t>，试验后工作正常。</w:t>
      </w:r>
    </w:p>
    <w:p w14:paraId="66524F35">
      <w:pPr>
        <w:pStyle w:val="36"/>
        <w:numPr>
          <w:ilvl w:val="2"/>
          <w:numId w:val="9"/>
        </w:numPr>
        <w:spacing w:before="156" w:after="156"/>
        <w:ind w:left="708"/>
      </w:pPr>
      <w:r>
        <w:rPr>
          <w:rFonts w:hint="eastAsia"/>
        </w:rPr>
        <w:t>冲击电压</w:t>
      </w:r>
    </w:p>
    <w:p w14:paraId="7EB5A368">
      <w:pPr>
        <w:pStyle w:val="41"/>
      </w:pPr>
      <w:r>
        <w:t>电源回路对地，应耐受如表</w:t>
      </w:r>
      <w:r>
        <w:rPr>
          <w:rFonts w:hint="eastAsia"/>
        </w:rPr>
        <w:t>3</w:t>
      </w:r>
      <w:r>
        <w:t>中规定的冲击电压峰值，正负极性各5次。试验时应无破坏性放电（击穿跳火、闪络或绝缘击穿）现象</w:t>
      </w:r>
      <w:r>
        <w:rPr>
          <w:rFonts w:hint="eastAsia" w:cs="宋体"/>
          <w:szCs w:val="21"/>
        </w:rPr>
        <w:t>，试验后工作正常</w:t>
      </w:r>
      <w:r>
        <w:rPr>
          <w:rFonts w:hint="eastAsia"/>
        </w:rPr>
        <w:t>。</w:t>
      </w:r>
    </w:p>
    <w:p w14:paraId="194AC6FE">
      <w:pPr>
        <w:pStyle w:val="54"/>
        <w:spacing w:before="156" w:after="156"/>
        <w:ind w:left="0"/>
      </w:pPr>
      <w:r>
        <w:t>冲击电压峰值</w:t>
      </w:r>
    </w:p>
    <w:tbl>
      <w:tblPr>
        <w:tblStyle w:val="25"/>
        <w:tblW w:w="538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556"/>
        <w:gridCol w:w="2827"/>
      </w:tblGrid>
      <w:tr w14:paraId="6EE976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556" w:type="dxa"/>
            <w:vAlign w:val="center"/>
          </w:tcPr>
          <w:p w14:paraId="64C0BBA3">
            <w:pPr>
              <w:jc w:val="center"/>
              <w:rPr>
                <w:sz w:val="21"/>
                <w:szCs w:val="21"/>
              </w:rPr>
            </w:pPr>
            <w:r>
              <w:rPr>
                <w:rFonts w:hint="eastAsia"/>
                <w:sz w:val="21"/>
                <w:szCs w:val="21"/>
              </w:rPr>
              <w:t>试验回路</w:t>
            </w:r>
          </w:p>
        </w:tc>
        <w:tc>
          <w:tcPr>
            <w:tcW w:w="2827" w:type="dxa"/>
            <w:vAlign w:val="center"/>
          </w:tcPr>
          <w:p w14:paraId="50EB535A">
            <w:pPr>
              <w:jc w:val="center"/>
              <w:rPr>
                <w:sz w:val="21"/>
                <w:szCs w:val="21"/>
              </w:rPr>
            </w:pPr>
            <w:r>
              <w:rPr>
                <w:rFonts w:hint="eastAsia"/>
                <w:sz w:val="21"/>
                <w:szCs w:val="21"/>
              </w:rPr>
              <w:t>冲击电压峰值 (</w:t>
            </w:r>
            <w:r>
              <w:rPr>
                <w:sz w:val="21"/>
                <w:szCs w:val="21"/>
              </w:rPr>
              <w:t>V</w:t>
            </w:r>
            <w:r>
              <w:rPr>
                <w:rFonts w:hint="eastAsia"/>
                <w:sz w:val="21"/>
                <w:szCs w:val="21"/>
              </w:rPr>
              <w:t>)</w:t>
            </w:r>
          </w:p>
        </w:tc>
      </w:tr>
      <w:tr w14:paraId="0B8403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556" w:type="dxa"/>
          </w:tcPr>
          <w:p w14:paraId="0D680F1E">
            <w:pPr>
              <w:jc w:val="center"/>
              <w:rPr>
                <w:sz w:val="21"/>
                <w:szCs w:val="21"/>
              </w:rPr>
            </w:pPr>
            <w:r>
              <w:rPr>
                <w:rFonts w:hint="eastAsia"/>
                <w:sz w:val="21"/>
                <w:szCs w:val="21"/>
              </w:rPr>
              <w:t>交流电源对地</w:t>
            </w:r>
          </w:p>
        </w:tc>
        <w:tc>
          <w:tcPr>
            <w:tcW w:w="2827" w:type="dxa"/>
          </w:tcPr>
          <w:p w14:paraId="6C18B927">
            <w:pPr>
              <w:jc w:val="center"/>
              <w:rPr>
                <w:sz w:val="21"/>
                <w:szCs w:val="21"/>
              </w:rPr>
            </w:pPr>
            <w:r>
              <w:rPr>
                <w:rFonts w:hint="eastAsia"/>
                <w:sz w:val="21"/>
                <w:szCs w:val="21"/>
              </w:rPr>
              <w:t>5</w:t>
            </w:r>
            <w:r>
              <w:rPr>
                <w:sz w:val="21"/>
                <w:szCs w:val="21"/>
              </w:rPr>
              <w:t>000</w:t>
            </w:r>
          </w:p>
        </w:tc>
      </w:tr>
    </w:tbl>
    <w:p w14:paraId="62837888">
      <w:pPr>
        <w:pStyle w:val="34"/>
        <w:numPr>
          <w:ilvl w:val="1"/>
          <w:numId w:val="14"/>
        </w:numPr>
        <w:spacing w:before="156" w:after="156"/>
      </w:pPr>
      <w:bookmarkStart w:id="125" w:name="_Toc19267"/>
      <w:bookmarkStart w:id="126" w:name="_Toc164421259"/>
      <w:bookmarkStart w:id="127" w:name="_Toc12274"/>
      <w:bookmarkStart w:id="128" w:name="_Toc90668993"/>
      <w:bookmarkStart w:id="129" w:name="_Hlk161048547"/>
      <w:r>
        <w:rPr>
          <w:rFonts w:hint="eastAsia"/>
        </w:rPr>
        <w:t>电磁兼容性</w:t>
      </w:r>
      <w:bookmarkEnd w:id="125"/>
      <w:bookmarkEnd w:id="126"/>
      <w:bookmarkEnd w:id="127"/>
      <w:bookmarkEnd w:id="128"/>
    </w:p>
    <w:bookmarkEnd w:id="129"/>
    <w:p w14:paraId="68B3EBBF">
      <w:pPr>
        <w:pStyle w:val="41"/>
      </w:pPr>
      <w:r>
        <w:rPr>
          <w:rFonts w:hint="eastAsia"/>
        </w:rPr>
        <w:t>通信单元</w:t>
      </w:r>
      <w:r>
        <w:t>应能在表</w:t>
      </w:r>
      <w:r>
        <w:rPr>
          <w:rFonts w:hint="eastAsia"/>
        </w:rPr>
        <w:t>4</w:t>
      </w:r>
      <w:r>
        <w:t>所列的电磁骚扰环境下正常工作</w:t>
      </w:r>
      <w:r>
        <w:rPr>
          <w:rFonts w:hint="eastAsia"/>
        </w:rPr>
        <w:t>。</w:t>
      </w:r>
    </w:p>
    <w:p w14:paraId="5967DF45">
      <w:pPr>
        <w:pStyle w:val="41"/>
      </w:pPr>
      <w:r>
        <w:rPr>
          <w:rFonts w:hint="eastAsia"/>
        </w:rPr>
        <w:t>电磁兼容试验项目包括：电压暂降和短时中断、工频磁场抗扰度、射频电磁场辐射抗扰度、射频场感应的传导骚扰抗扰度、静电放电抗扰度、电快速瞬变脉冲群抗扰度、阻尼振荡波抗扰度、浪涌抗扰度。</w:t>
      </w:r>
    </w:p>
    <w:p w14:paraId="00ED2E97">
      <w:pPr>
        <w:pStyle w:val="54"/>
        <w:spacing w:before="156" w:after="156"/>
        <w:ind w:left="0"/>
      </w:pPr>
      <w:r>
        <w:rPr>
          <w:rFonts w:hint="eastAsia"/>
        </w:rPr>
        <w:t>电磁兼容性要求</w:t>
      </w:r>
    </w:p>
    <w:tbl>
      <w:tblPr>
        <w:tblStyle w:val="25"/>
        <w:tblW w:w="9047" w:type="dxa"/>
        <w:tblInd w:w="118" w:type="dxa"/>
        <w:tblLayout w:type="autofit"/>
        <w:tblCellMar>
          <w:top w:w="0" w:type="dxa"/>
          <w:left w:w="108" w:type="dxa"/>
          <w:bottom w:w="0" w:type="dxa"/>
          <w:right w:w="108" w:type="dxa"/>
        </w:tblCellMar>
      </w:tblPr>
      <w:tblGrid>
        <w:gridCol w:w="3392"/>
        <w:gridCol w:w="3158"/>
        <w:gridCol w:w="2497"/>
      </w:tblGrid>
      <w:tr w14:paraId="2DFB8818">
        <w:tblPrEx>
          <w:tblCellMar>
            <w:top w:w="0" w:type="dxa"/>
            <w:left w:w="108" w:type="dxa"/>
            <w:bottom w:w="0" w:type="dxa"/>
            <w:right w:w="108" w:type="dxa"/>
          </w:tblCellMar>
        </w:tblPrEx>
        <w:trPr>
          <w:trHeight w:val="292" w:hRule="atLeast"/>
        </w:trPr>
        <w:tc>
          <w:tcPr>
            <w:tcW w:w="3392" w:type="dxa"/>
            <w:tcBorders>
              <w:top w:val="single" w:color="auto" w:sz="8" w:space="0"/>
              <w:left w:val="single" w:color="auto" w:sz="8" w:space="0"/>
              <w:bottom w:val="single" w:color="auto" w:sz="8" w:space="0"/>
              <w:right w:val="single" w:color="auto" w:sz="8" w:space="0"/>
            </w:tcBorders>
            <w:shd w:val="clear" w:color="auto" w:fill="auto"/>
            <w:vAlign w:val="center"/>
          </w:tcPr>
          <w:p w14:paraId="26210623">
            <w:pPr>
              <w:jc w:val="center"/>
              <w:rPr>
                <w:color w:val="000000"/>
                <w:sz w:val="18"/>
                <w:szCs w:val="18"/>
              </w:rPr>
            </w:pPr>
            <w:r>
              <w:rPr>
                <w:rFonts w:hint="eastAsia"/>
                <w:color w:val="000000"/>
                <w:sz w:val="18"/>
                <w:szCs w:val="18"/>
              </w:rPr>
              <w:t>电磁骚扰源</w:t>
            </w:r>
          </w:p>
        </w:tc>
        <w:tc>
          <w:tcPr>
            <w:tcW w:w="3158" w:type="dxa"/>
            <w:tcBorders>
              <w:top w:val="single" w:color="auto" w:sz="8" w:space="0"/>
              <w:left w:val="nil"/>
              <w:bottom w:val="single" w:color="auto" w:sz="8" w:space="0"/>
              <w:right w:val="single" w:color="auto" w:sz="8" w:space="0"/>
            </w:tcBorders>
            <w:shd w:val="clear" w:color="auto" w:fill="auto"/>
            <w:vAlign w:val="center"/>
          </w:tcPr>
          <w:p w14:paraId="5BF537CB">
            <w:pPr>
              <w:jc w:val="center"/>
              <w:rPr>
                <w:color w:val="000000"/>
                <w:sz w:val="18"/>
                <w:szCs w:val="18"/>
              </w:rPr>
            </w:pPr>
            <w:r>
              <w:rPr>
                <w:rFonts w:hint="eastAsia"/>
                <w:color w:val="000000"/>
                <w:sz w:val="18"/>
                <w:szCs w:val="18"/>
              </w:rPr>
              <w:t>电磁骚扰施加值</w:t>
            </w:r>
          </w:p>
        </w:tc>
        <w:tc>
          <w:tcPr>
            <w:tcW w:w="2497" w:type="dxa"/>
            <w:tcBorders>
              <w:top w:val="single" w:color="auto" w:sz="8" w:space="0"/>
              <w:left w:val="nil"/>
              <w:bottom w:val="single" w:color="auto" w:sz="8" w:space="0"/>
              <w:right w:val="single" w:color="auto" w:sz="8" w:space="0"/>
            </w:tcBorders>
            <w:shd w:val="clear" w:color="auto" w:fill="auto"/>
            <w:vAlign w:val="center"/>
          </w:tcPr>
          <w:p w14:paraId="696A4C3C">
            <w:pPr>
              <w:jc w:val="center"/>
              <w:rPr>
                <w:color w:val="000000"/>
                <w:sz w:val="18"/>
                <w:szCs w:val="18"/>
              </w:rPr>
            </w:pPr>
            <w:r>
              <w:rPr>
                <w:rFonts w:hint="eastAsia"/>
                <w:color w:val="000000"/>
                <w:sz w:val="18"/>
                <w:szCs w:val="18"/>
              </w:rPr>
              <w:t>引用标准</w:t>
            </w:r>
          </w:p>
        </w:tc>
      </w:tr>
      <w:tr w14:paraId="7589F781">
        <w:tblPrEx>
          <w:tblCellMar>
            <w:top w:w="0" w:type="dxa"/>
            <w:left w:w="108" w:type="dxa"/>
            <w:bottom w:w="0" w:type="dxa"/>
            <w:right w:w="108" w:type="dxa"/>
          </w:tblCellMar>
        </w:tblPrEx>
        <w:trPr>
          <w:trHeight w:val="167" w:hRule="atLeast"/>
        </w:trPr>
        <w:tc>
          <w:tcPr>
            <w:tcW w:w="3392" w:type="dxa"/>
            <w:vMerge w:val="restart"/>
            <w:tcBorders>
              <w:top w:val="nil"/>
              <w:left w:val="single" w:color="auto" w:sz="8" w:space="0"/>
              <w:bottom w:val="single" w:color="auto" w:sz="8" w:space="0"/>
              <w:right w:val="single" w:color="auto" w:sz="8" w:space="0"/>
            </w:tcBorders>
            <w:shd w:val="clear" w:color="auto" w:fill="auto"/>
            <w:vAlign w:val="center"/>
          </w:tcPr>
          <w:p w14:paraId="25A0C295">
            <w:pPr>
              <w:jc w:val="center"/>
              <w:rPr>
                <w:color w:val="000000"/>
                <w:sz w:val="18"/>
                <w:szCs w:val="18"/>
              </w:rPr>
            </w:pPr>
            <w:r>
              <w:rPr>
                <w:rFonts w:hint="eastAsia"/>
                <w:color w:val="000000"/>
                <w:sz w:val="18"/>
                <w:szCs w:val="18"/>
              </w:rPr>
              <w:t>电压暂降和短时中断</w:t>
            </w:r>
          </w:p>
        </w:tc>
        <w:tc>
          <w:tcPr>
            <w:tcW w:w="3158" w:type="dxa"/>
            <w:tcBorders>
              <w:top w:val="nil"/>
              <w:left w:val="nil"/>
              <w:bottom w:val="single" w:color="auto" w:sz="8" w:space="0"/>
              <w:right w:val="single" w:color="auto" w:sz="8" w:space="0"/>
            </w:tcBorders>
            <w:shd w:val="clear" w:color="auto" w:fill="auto"/>
            <w:vAlign w:val="center"/>
          </w:tcPr>
          <w:p w14:paraId="23559B02">
            <w:pPr>
              <w:jc w:val="center"/>
              <w:rPr>
                <w:color w:val="000000"/>
                <w:sz w:val="18"/>
                <w:szCs w:val="18"/>
              </w:rPr>
            </w:pPr>
            <w:r>
              <w:rPr>
                <w:rFonts w:hint="eastAsia"/>
                <w:color w:val="000000"/>
                <w:sz w:val="18"/>
                <w:szCs w:val="18"/>
              </w:rPr>
              <w:t>3000:1（60%）</w:t>
            </w:r>
          </w:p>
        </w:tc>
        <w:tc>
          <w:tcPr>
            <w:tcW w:w="2497" w:type="dxa"/>
            <w:vMerge w:val="restart"/>
            <w:tcBorders>
              <w:top w:val="nil"/>
              <w:left w:val="single" w:color="auto" w:sz="8" w:space="0"/>
              <w:bottom w:val="single" w:color="auto" w:sz="8" w:space="0"/>
              <w:right w:val="single" w:color="auto" w:sz="8" w:space="0"/>
            </w:tcBorders>
            <w:shd w:val="clear" w:color="auto" w:fill="auto"/>
            <w:vAlign w:val="center"/>
          </w:tcPr>
          <w:p w14:paraId="26285D24">
            <w:pPr>
              <w:jc w:val="center"/>
              <w:rPr>
                <w:color w:val="000000"/>
                <w:sz w:val="18"/>
                <w:szCs w:val="18"/>
              </w:rPr>
            </w:pPr>
            <w:r>
              <w:rPr>
                <w:rFonts w:hint="eastAsia"/>
                <w:color w:val="000000"/>
                <w:sz w:val="18"/>
                <w:szCs w:val="18"/>
              </w:rPr>
              <w:t>GB/T 17626.11-2008</w:t>
            </w:r>
          </w:p>
        </w:tc>
      </w:tr>
      <w:tr w14:paraId="5CC27EA2">
        <w:tblPrEx>
          <w:tblCellMar>
            <w:top w:w="0" w:type="dxa"/>
            <w:left w:w="108" w:type="dxa"/>
            <w:bottom w:w="0" w:type="dxa"/>
            <w:right w:w="108" w:type="dxa"/>
          </w:tblCellMar>
        </w:tblPrEx>
        <w:trPr>
          <w:trHeight w:val="199" w:hRule="atLeast"/>
        </w:trPr>
        <w:tc>
          <w:tcPr>
            <w:tcW w:w="3392" w:type="dxa"/>
            <w:vMerge w:val="continue"/>
            <w:tcBorders>
              <w:top w:val="nil"/>
              <w:left w:val="single" w:color="auto" w:sz="8" w:space="0"/>
              <w:bottom w:val="single" w:color="auto" w:sz="8" w:space="0"/>
              <w:right w:val="single" w:color="auto" w:sz="8" w:space="0"/>
            </w:tcBorders>
            <w:vAlign w:val="center"/>
          </w:tcPr>
          <w:p w14:paraId="48E9105D">
            <w:pPr>
              <w:rPr>
                <w:color w:val="000000"/>
                <w:sz w:val="18"/>
                <w:szCs w:val="18"/>
              </w:rPr>
            </w:pPr>
          </w:p>
        </w:tc>
        <w:tc>
          <w:tcPr>
            <w:tcW w:w="3158" w:type="dxa"/>
            <w:tcBorders>
              <w:top w:val="nil"/>
              <w:left w:val="nil"/>
              <w:bottom w:val="single" w:color="auto" w:sz="8" w:space="0"/>
              <w:right w:val="single" w:color="auto" w:sz="8" w:space="0"/>
            </w:tcBorders>
            <w:shd w:val="clear" w:color="auto" w:fill="auto"/>
            <w:vAlign w:val="center"/>
          </w:tcPr>
          <w:p w14:paraId="3025AD68">
            <w:pPr>
              <w:jc w:val="center"/>
              <w:rPr>
                <w:color w:val="000000"/>
                <w:sz w:val="18"/>
                <w:szCs w:val="18"/>
              </w:rPr>
            </w:pPr>
            <w:r>
              <w:rPr>
                <w:rFonts w:hint="eastAsia"/>
                <w:color w:val="000000"/>
                <w:sz w:val="18"/>
                <w:szCs w:val="18"/>
              </w:rPr>
              <w:t>50:1（0%）</w:t>
            </w:r>
          </w:p>
        </w:tc>
        <w:tc>
          <w:tcPr>
            <w:tcW w:w="2497" w:type="dxa"/>
            <w:vMerge w:val="continue"/>
            <w:tcBorders>
              <w:top w:val="nil"/>
              <w:left w:val="single" w:color="auto" w:sz="8" w:space="0"/>
              <w:bottom w:val="single" w:color="auto" w:sz="8" w:space="0"/>
              <w:right w:val="single" w:color="auto" w:sz="8" w:space="0"/>
            </w:tcBorders>
            <w:vAlign w:val="center"/>
          </w:tcPr>
          <w:p w14:paraId="307A3EA8">
            <w:pPr>
              <w:rPr>
                <w:color w:val="000000"/>
                <w:sz w:val="18"/>
                <w:szCs w:val="18"/>
              </w:rPr>
            </w:pPr>
          </w:p>
        </w:tc>
      </w:tr>
      <w:tr w14:paraId="29D731A6">
        <w:tblPrEx>
          <w:tblCellMar>
            <w:top w:w="0" w:type="dxa"/>
            <w:left w:w="108" w:type="dxa"/>
            <w:bottom w:w="0" w:type="dxa"/>
            <w:right w:w="108" w:type="dxa"/>
          </w:tblCellMar>
        </w:tblPrEx>
        <w:trPr>
          <w:trHeight w:val="89" w:hRule="atLeast"/>
        </w:trPr>
        <w:tc>
          <w:tcPr>
            <w:tcW w:w="3392" w:type="dxa"/>
            <w:vMerge w:val="continue"/>
            <w:tcBorders>
              <w:top w:val="nil"/>
              <w:left w:val="single" w:color="auto" w:sz="8" w:space="0"/>
              <w:bottom w:val="single" w:color="auto" w:sz="8" w:space="0"/>
              <w:right w:val="single" w:color="auto" w:sz="8" w:space="0"/>
            </w:tcBorders>
            <w:vAlign w:val="center"/>
          </w:tcPr>
          <w:p w14:paraId="2C80F142">
            <w:pPr>
              <w:rPr>
                <w:color w:val="000000"/>
                <w:sz w:val="18"/>
                <w:szCs w:val="18"/>
              </w:rPr>
            </w:pPr>
          </w:p>
        </w:tc>
        <w:tc>
          <w:tcPr>
            <w:tcW w:w="3158" w:type="dxa"/>
            <w:tcBorders>
              <w:top w:val="nil"/>
              <w:left w:val="nil"/>
              <w:bottom w:val="single" w:color="auto" w:sz="8" w:space="0"/>
              <w:right w:val="single" w:color="auto" w:sz="8" w:space="0"/>
            </w:tcBorders>
            <w:shd w:val="clear" w:color="auto" w:fill="auto"/>
            <w:vAlign w:val="center"/>
          </w:tcPr>
          <w:p w14:paraId="69B433BC">
            <w:pPr>
              <w:jc w:val="center"/>
              <w:rPr>
                <w:color w:val="000000"/>
                <w:sz w:val="18"/>
                <w:szCs w:val="18"/>
              </w:rPr>
            </w:pPr>
            <w:r>
              <w:rPr>
                <w:rFonts w:hint="eastAsia"/>
                <w:color w:val="000000"/>
                <w:sz w:val="18"/>
                <w:szCs w:val="18"/>
              </w:rPr>
              <w:t>1:1（0%）</w:t>
            </w:r>
          </w:p>
        </w:tc>
        <w:tc>
          <w:tcPr>
            <w:tcW w:w="2497" w:type="dxa"/>
            <w:vMerge w:val="continue"/>
            <w:tcBorders>
              <w:top w:val="nil"/>
              <w:left w:val="single" w:color="auto" w:sz="8" w:space="0"/>
              <w:bottom w:val="single" w:color="auto" w:sz="8" w:space="0"/>
              <w:right w:val="single" w:color="auto" w:sz="8" w:space="0"/>
            </w:tcBorders>
            <w:vAlign w:val="center"/>
          </w:tcPr>
          <w:p w14:paraId="4131AD6E">
            <w:pPr>
              <w:rPr>
                <w:color w:val="000000"/>
                <w:sz w:val="18"/>
                <w:szCs w:val="18"/>
              </w:rPr>
            </w:pPr>
          </w:p>
        </w:tc>
      </w:tr>
      <w:tr w14:paraId="50D5F715">
        <w:tblPrEx>
          <w:tblCellMar>
            <w:top w:w="0" w:type="dxa"/>
            <w:left w:w="108" w:type="dxa"/>
            <w:bottom w:w="0" w:type="dxa"/>
            <w:right w:w="108" w:type="dxa"/>
          </w:tblCellMar>
        </w:tblPrEx>
        <w:trPr>
          <w:trHeight w:val="81" w:hRule="atLeast"/>
        </w:trPr>
        <w:tc>
          <w:tcPr>
            <w:tcW w:w="3392" w:type="dxa"/>
            <w:tcBorders>
              <w:top w:val="nil"/>
              <w:left w:val="single" w:color="auto" w:sz="8" w:space="0"/>
              <w:bottom w:val="single" w:color="auto" w:sz="8" w:space="0"/>
              <w:right w:val="single" w:color="auto" w:sz="8" w:space="0"/>
            </w:tcBorders>
            <w:shd w:val="clear" w:color="auto" w:fill="auto"/>
            <w:vAlign w:val="center"/>
          </w:tcPr>
          <w:p w14:paraId="3F987B3B">
            <w:pPr>
              <w:jc w:val="center"/>
              <w:rPr>
                <w:color w:val="000000"/>
                <w:sz w:val="18"/>
                <w:szCs w:val="18"/>
              </w:rPr>
            </w:pPr>
            <w:r>
              <w:rPr>
                <w:rFonts w:hint="eastAsia"/>
                <w:color w:val="000000"/>
                <w:sz w:val="18"/>
                <w:szCs w:val="18"/>
              </w:rPr>
              <w:t>工频磁场抗扰度</w:t>
            </w:r>
          </w:p>
        </w:tc>
        <w:tc>
          <w:tcPr>
            <w:tcW w:w="3158" w:type="dxa"/>
            <w:tcBorders>
              <w:top w:val="nil"/>
              <w:left w:val="nil"/>
              <w:bottom w:val="single" w:color="auto" w:sz="8" w:space="0"/>
              <w:right w:val="single" w:color="auto" w:sz="8" w:space="0"/>
            </w:tcBorders>
            <w:shd w:val="clear" w:color="auto" w:fill="auto"/>
            <w:vAlign w:val="center"/>
          </w:tcPr>
          <w:p w14:paraId="57BC5CAD">
            <w:pPr>
              <w:jc w:val="center"/>
              <w:rPr>
                <w:color w:val="000000"/>
                <w:sz w:val="18"/>
                <w:szCs w:val="18"/>
              </w:rPr>
            </w:pPr>
            <w:r>
              <w:rPr>
                <w:rFonts w:hint="eastAsia"/>
                <w:color w:val="000000"/>
                <w:sz w:val="18"/>
                <w:szCs w:val="18"/>
              </w:rPr>
              <w:t>400A/m</w:t>
            </w:r>
          </w:p>
        </w:tc>
        <w:tc>
          <w:tcPr>
            <w:tcW w:w="2497" w:type="dxa"/>
            <w:tcBorders>
              <w:top w:val="nil"/>
              <w:left w:val="nil"/>
              <w:bottom w:val="single" w:color="auto" w:sz="8" w:space="0"/>
              <w:right w:val="single" w:color="auto" w:sz="8" w:space="0"/>
            </w:tcBorders>
            <w:shd w:val="clear" w:color="auto" w:fill="auto"/>
            <w:vAlign w:val="center"/>
          </w:tcPr>
          <w:p w14:paraId="703C354E">
            <w:pPr>
              <w:jc w:val="center"/>
              <w:rPr>
                <w:color w:val="000000"/>
                <w:sz w:val="18"/>
                <w:szCs w:val="18"/>
              </w:rPr>
            </w:pPr>
            <w:r>
              <w:rPr>
                <w:rFonts w:hint="eastAsia"/>
                <w:color w:val="000000"/>
                <w:sz w:val="18"/>
                <w:szCs w:val="18"/>
              </w:rPr>
              <w:t>/</w:t>
            </w:r>
          </w:p>
        </w:tc>
      </w:tr>
      <w:tr w14:paraId="073797E0">
        <w:tblPrEx>
          <w:tblCellMar>
            <w:top w:w="0" w:type="dxa"/>
            <w:left w:w="108" w:type="dxa"/>
            <w:bottom w:w="0" w:type="dxa"/>
            <w:right w:w="108" w:type="dxa"/>
          </w:tblCellMar>
        </w:tblPrEx>
        <w:trPr>
          <w:trHeight w:val="403" w:hRule="atLeast"/>
        </w:trPr>
        <w:tc>
          <w:tcPr>
            <w:tcW w:w="3392" w:type="dxa"/>
            <w:vMerge w:val="restart"/>
            <w:tcBorders>
              <w:top w:val="nil"/>
              <w:left w:val="single" w:color="auto" w:sz="8" w:space="0"/>
              <w:bottom w:val="single" w:color="auto" w:sz="8" w:space="0"/>
              <w:right w:val="single" w:color="auto" w:sz="8" w:space="0"/>
            </w:tcBorders>
            <w:shd w:val="clear" w:color="auto" w:fill="auto"/>
            <w:vAlign w:val="center"/>
          </w:tcPr>
          <w:p w14:paraId="3B74C34F">
            <w:pPr>
              <w:jc w:val="center"/>
              <w:rPr>
                <w:color w:val="000000"/>
                <w:sz w:val="18"/>
                <w:szCs w:val="18"/>
              </w:rPr>
            </w:pPr>
            <w:r>
              <w:rPr>
                <w:rFonts w:hint="eastAsia"/>
                <w:color w:val="000000"/>
                <w:sz w:val="18"/>
                <w:szCs w:val="18"/>
              </w:rPr>
              <w:t>射频电磁场辐射抗扰度</w:t>
            </w:r>
          </w:p>
        </w:tc>
        <w:tc>
          <w:tcPr>
            <w:tcW w:w="3158" w:type="dxa"/>
            <w:tcBorders>
              <w:top w:val="nil"/>
              <w:left w:val="nil"/>
              <w:bottom w:val="single" w:color="auto" w:sz="8" w:space="0"/>
              <w:right w:val="single" w:color="auto" w:sz="8" w:space="0"/>
            </w:tcBorders>
            <w:shd w:val="clear" w:color="auto" w:fill="auto"/>
            <w:vAlign w:val="center"/>
          </w:tcPr>
          <w:p w14:paraId="09759002">
            <w:pPr>
              <w:jc w:val="center"/>
              <w:rPr>
                <w:color w:val="000000"/>
                <w:sz w:val="18"/>
                <w:szCs w:val="18"/>
              </w:rPr>
            </w:pPr>
            <w:r>
              <w:rPr>
                <w:rFonts w:hint="eastAsia"/>
                <w:color w:val="000000"/>
                <w:sz w:val="18"/>
                <w:szCs w:val="18"/>
              </w:rPr>
              <w:t>10V/m，80MHz～1000MHz</w:t>
            </w:r>
          </w:p>
        </w:tc>
        <w:tc>
          <w:tcPr>
            <w:tcW w:w="2497" w:type="dxa"/>
            <w:vMerge w:val="restart"/>
            <w:tcBorders>
              <w:top w:val="nil"/>
              <w:left w:val="single" w:color="auto" w:sz="8" w:space="0"/>
              <w:bottom w:val="single" w:color="auto" w:sz="8" w:space="0"/>
              <w:right w:val="single" w:color="auto" w:sz="8" w:space="0"/>
            </w:tcBorders>
            <w:shd w:val="clear" w:color="auto" w:fill="auto"/>
            <w:vAlign w:val="center"/>
          </w:tcPr>
          <w:p w14:paraId="7E225C30">
            <w:pPr>
              <w:jc w:val="center"/>
              <w:rPr>
                <w:color w:val="000000"/>
                <w:sz w:val="18"/>
                <w:szCs w:val="18"/>
              </w:rPr>
            </w:pPr>
            <w:r>
              <w:rPr>
                <w:rFonts w:hint="eastAsia"/>
                <w:color w:val="000000"/>
                <w:sz w:val="18"/>
                <w:szCs w:val="18"/>
              </w:rPr>
              <w:t>GB/T 17626.3-2016</w:t>
            </w:r>
          </w:p>
        </w:tc>
      </w:tr>
      <w:tr w14:paraId="53E69652">
        <w:tblPrEx>
          <w:tblCellMar>
            <w:top w:w="0" w:type="dxa"/>
            <w:left w:w="108" w:type="dxa"/>
            <w:bottom w:w="0" w:type="dxa"/>
            <w:right w:w="108" w:type="dxa"/>
          </w:tblCellMar>
        </w:tblPrEx>
        <w:trPr>
          <w:trHeight w:val="292" w:hRule="atLeast"/>
        </w:trPr>
        <w:tc>
          <w:tcPr>
            <w:tcW w:w="3392" w:type="dxa"/>
            <w:vMerge w:val="continue"/>
            <w:tcBorders>
              <w:top w:val="nil"/>
              <w:left w:val="single" w:color="auto" w:sz="8" w:space="0"/>
              <w:bottom w:val="single" w:color="auto" w:sz="8" w:space="0"/>
              <w:right w:val="single" w:color="auto" w:sz="8" w:space="0"/>
            </w:tcBorders>
            <w:vAlign w:val="center"/>
          </w:tcPr>
          <w:p w14:paraId="7ACA185B">
            <w:pPr>
              <w:rPr>
                <w:color w:val="000000"/>
                <w:sz w:val="18"/>
                <w:szCs w:val="18"/>
              </w:rPr>
            </w:pPr>
          </w:p>
        </w:tc>
        <w:tc>
          <w:tcPr>
            <w:tcW w:w="3158" w:type="dxa"/>
            <w:tcBorders>
              <w:top w:val="nil"/>
              <w:left w:val="nil"/>
              <w:bottom w:val="single" w:color="auto" w:sz="8" w:space="0"/>
              <w:right w:val="single" w:color="auto" w:sz="8" w:space="0"/>
            </w:tcBorders>
            <w:shd w:val="clear" w:color="auto" w:fill="auto"/>
            <w:vAlign w:val="center"/>
          </w:tcPr>
          <w:p w14:paraId="36154CCD">
            <w:pPr>
              <w:jc w:val="center"/>
              <w:rPr>
                <w:color w:val="000000"/>
                <w:sz w:val="18"/>
                <w:szCs w:val="18"/>
              </w:rPr>
            </w:pPr>
            <w:r>
              <w:rPr>
                <w:rFonts w:hint="eastAsia"/>
                <w:color w:val="000000"/>
                <w:sz w:val="18"/>
                <w:szCs w:val="18"/>
              </w:rPr>
              <w:t>30V/m，1.4GHz～2GHz</w:t>
            </w:r>
          </w:p>
        </w:tc>
        <w:tc>
          <w:tcPr>
            <w:tcW w:w="2497" w:type="dxa"/>
            <w:vMerge w:val="continue"/>
            <w:tcBorders>
              <w:top w:val="nil"/>
              <w:left w:val="single" w:color="auto" w:sz="8" w:space="0"/>
              <w:bottom w:val="single" w:color="auto" w:sz="8" w:space="0"/>
              <w:right w:val="single" w:color="auto" w:sz="8" w:space="0"/>
            </w:tcBorders>
            <w:vAlign w:val="center"/>
          </w:tcPr>
          <w:p w14:paraId="6A30241F">
            <w:pPr>
              <w:rPr>
                <w:color w:val="000000"/>
                <w:sz w:val="18"/>
                <w:szCs w:val="18"/>
              </w:rPr>
            </w:pPr>
          </w:p>
        </w:tc>
      </w:tr>
      <w:tr w14:paraId="620609CA">
        <w:tblPrEx>
          <w:tblCellMar>
            <w:top w:w="0" w:type="dxa"/>
            <w:left w:w="108" w:type="dxa"/>
            <w:bottom w:w="0" w:type="dxa"/>
            <w:right w:w="108" w:type="dxa"/>
          </w:tblCellMar>
        </w:tblPrEx>
        <w:trPr>
          <w:trHeight w:val="403" w:hRule="atLeast"/>
        </w:trPr>
        <w:tc>
          <w:tcPr>
            <w:tcW w:w="3392" w:type="dxa"/>
            <w:tcBorders>
              <w:top w:val="nil"/>
              <w:left w:val="single" w:color="auto" w:sz="8" w:space="0"/>
              <w:bottom w:val="single" w:color="auto" w:sz="8" w:space="0"/>
              <w:right w:val="single" w:color="auto" w:sz="8" w:space="0"/>
            </w:tcBorders>
            <w:shd w:val="clear" w:color="auto" w:fill="auto"/>
            <w:vAlign w:val="center"/>
          </w:tcPr>
          <w:p w14:paraId="5021B88E">
            <w:pPr>
              <w:jc w:val="center"/>
              <w:rPr>
                <w:color w:val="000000"/>
                <w:sz w:val="18"/>
                <w:szCs w:val="18"/>
              </w:rPr>
            </w:pPr>
            <w:r>
              <w:rPr>
                <w:rFonts w:hint="eastAsia"/>
                <w:color w:val="000000"/>
                <w:sz w:val="18"/>
                <w:szCs w:val="18"/>
              </w:rPr>
              <w:t>射频场感应的传导骚扰抗扰度</w:t>
            </w:r>
          </w:p>
        </w:tc>
        <w:tc>
          <w:tcPr>
            <w:tcW w:w="3158" w:type="dxa"/>
            <w:tcBorders>
              <w:top w:val="nil"/>
              <w:left w:val="nil"/>
              <w:bottom w:val="single" w:color="auto" w:sz="8" w:space="0"/>
              <w:right w:val="single" w:color="auto" w:sz="8" w:space="0"/>
            </w:tcBorders>
            <w:shd w:val="clear" w:color="auto" w:fill="auto"/>
            <w:vAlign w:val="center"/>
          </w:tcPr>
          <w:p w14:paraId="38B20796">
            <w:pPr>
              <w:jc w:val="center"/>
              <w:rPr>
                <w:color w:val="000000"/>
                <w:sz w:val="18"/>
                <w:szCs w:val="18"/>
              </w:rPr>
            </w:pPr>
            <w:r>
              <w:rPr>
                <w:rFonts w:hint="eastAsia"/>
                <w:color w:val="000000"/>
                <w:sz w:val="18"/>
                <w:szCs w:val="18"/>
              </w:rPr>
              <w:t>10V，150kHz～80MHz</w:t>
            </w:r>
          </w:p>
        </w:tc>
        <w:tc>
          <w:tcPr>
            <w:tcW w:w="2497" w:type="dxa"/>
            <w:tcBorders>
              <w:top w:val="nil"/>
              <w:left w:val="nil"/>
              <w:bottom w:val="single" w:color="auto" w:sz="8" w:space="0"/>
              <w:right w:val="single" w:color="auto" w:sz="8" w:space="0"/>
            </w:tcBorders>
            <w:shd w:val="clear" w:color="auto" w:fill="auto"/>
            <w:vAlign w:val="center"/>
          </w:tcPr>
          <w:p w14:paraId="20D9E3D4">
            <w:pPr>
              <w:jc w:val="center"/>
              <w:rPr>
                <w:color w:val="000000"/>
                <w:sz w:val="18"/>
                <w:szCs w:val="18"/>
              </w:rPr>
            </w:pPr>
            <w:r>
              <w:rPr>
                <w:rFonts w:hint="eastAsia"/>
                <w:color w:val="000000"/>
                <w:sz w:val="18"/>
                <w:szCs w:val="18"/>
              </w:rPr>
              <w:t>GB/T 17626.6-2017</w:t>
            </w:r>
          </w:p>
        </w:tc>
      </w:tr>
      <w:tr w14:paraId="1FCFD116">
        <w:tblPrEx>
          <w:tblCellMar>
            <w:top w:w="0" w:type="dxa"/>
            <w:left w:w="108" w:type="dxa"/>
            <w:bottom w:w="0" w:type="dxa"/>
            <w:right w:w="108" w:type="dxa"/>
          </w:tblCellMar>
        </w:tblPrEx>
        <w:trPr>
          <w:trHeight w:val="292" w:hRule="atLeast"/>
        </w:trPr>
        <w:tc>
          <w:tcPr>
            <w:tcW w:w="3392" w:type="dxa"/>
            <w:vMerge w:val="restart"/>
            <w:tcBorders>
              <w:top w:val="nil"/>
              <w:left w:val="single" w:color="auto" w:sz="8" w:space="0"/>
              <w:bottom w:val="single" w:color="auto" w:sz="8" w:space="0"/>
              <w:right w:val="single" w:color="auto" w:sz="8" w:space="0"/>
            </w:tcBorders>
            <w:shd w:val="clear" w:color="auto" w:fill="auto"/>
            <w:vAlign w:val="center"/>
          </w:tcPr>
          <w:p w14:paraId="1CB2790E">
            <w:pPr>
              <w:jc w:val="center"/>
              <w:rPr>
                <w:color w:val="000000"/>
                <w:sz w:val="18"/>
                <w:szCs w:val="18"/>
              </w:rPr>
            </w:pPr>
            <w:r>
              <w:rPr>
                <w:rFonts w:hint="eastAsia"/>
                <w:color w:val="000000"/>
                <w:sz w:val="18"/>
                <w:szCs w:val="18"/>
              </w:rPr>
              <w:t>静电放电抗扰度</w:t>
            </w:r>
          </w:p>
        </w:tc>
        <w:tc>
          <w:tcPr>
            <w:tcW w:w="3158" w:type="dxa"/>
            <w:tcBorders>
              <w:top w:val="nil"/>
              <w:left w:val="nil"/>
              <w:bottom w:val="single" w:color="auto" w:sz="8" w:space="0"/>
              <w:right w:val="single" w:color="auto" w:sz="8" w:space="0"/>
            </w:tcBorders>
            <w:shd w:val="clear" w:color="auto" w:fill="auto"/>
            <w:vAlign w:val="center"/>
          </w:tcPr>
          <w:p w14:paraId="05DACC6E">
            <w:pPr>
              <w:jc w:val="center"/>
              <w:rPr>
                <w:color w:val="000000"/>
                <w:sz w:val="18"/>
                <w:szCs w:val="18"/>
              </w:rPr>
            </w:pPr>
            <w:r>
              <w:rPr>
                <w:rFonts w:hint="eastAsia"/>
                <w:color w:val="000000"/>
                <w:sz w:val="18"/>
                <w:szCs w:val="18"/>
              </w:rPr>
              <w:t>8kV（接触放电）</w:t>
            </w:r>
          </w:p>
        </w:tc>
        <w:tc>
          <w:tcPr>
            <w:tcW w:w="2497" w:type="dxa"/>
            <w:vMerge w:val="restart"/>
            <w:tcBorders>
              <w:top w:val="nil"/>
              <w:left w:val="single" w:color="auto" w:sz="8" w:space="0"/>
              <w:bottom w:val="single" w:color="auto" w:sz="8" w:space="0"/>
              <w:right w:val="single" w:color="auto" w:sz="8" w:space="0"/>
            </w:tcBorders>
            <w:shd w:val="clear" w:color="auto" w:fill="auto"/>
            <w:vAlign w:val="center"/>
          </w:tcPr>
          <w:p w14:paraId="35E1503C">
            <w:pPr>
              <w:jc w:val="center"/>
              <w:rPr>
                <w:color w:val="000000"/>
                <w:sz w:val="18"/>
                <w:szCs w:val="18"/>
              </w:rPr>
            </w:pPr>
            <w:r>
              <w:rPr>
                <w:rFonts w:hint="eastAsia"/>
                <w:color w:val="000000"/>
                <w:sz w:val="18"/>
                <w:szCs w:val="18"/>
              </w:rPr>
              <w:t>GB/T 17626.2-2018</w:t>
            </w:r>
          </w:p>
        </w:tc>
      </w:tr>
      <w:tr w14:paraId="0205DCB6">
        <w:tblPrEx>
          <w:tblCellMar>
            <w:top w:w="0" w:type="dxa"/>
            <w:left w:w="108" w:type="dxa"/>
            <w:bottom w:w="0" w:type="dxa"/>
            <w:right w:w="108" w:type="dxa"/>
          </w:tblCellMar>
        </w:tblPrEx>
        <w:trPr>
          <w:trHeight w:val="292" w:hRule="atLeast"/>
        </w:trPr>
        <w:tc>
          <w:tcPr>
            <w:tcW w:w="3392" w:type="dxa"/>
            <w:vMerge w:val="continue"/>
            <w:tcBorders>
              <w:top w:val="nil"/>
              <w:left w:val="single" w:color="auto" w:sz="8" w:space="0"/>
              <w:bottom w:val="single" w:color="auto" w:sz="8" w:space="0"/>
              <w:right w:val="single" w:color="auto" w:sz="8" w:space="0"/>
            </w:tcBorders>
            <w:vAlign w:val="center"/>
          </w:tcPr>
          <w:p w14:paraId="0294F0D1">
            <w:pPr>
              <w:rPr>
                <w:color w:val="000000"/>
                <w:sz w:val="18"/>
                <w:szCs w:val="18"/>
              </w:rPr>
            </w:pPr>
          </w:p>
        </w:tc>
        <w:tc>
          <w:tcPr>
            <w:tcW w:w="3158" w:type="dxa"/>
            <w:tcBorders>
              <w:top w:val="nil"/>
              <w:left w:val="nil"/>
              <w:bottom w:val="single" w:color="auto" w:sz="8" w:space="0"/>
              <w:right w:val="single" w:color="auto" w:sz="8" w:space="0"/>
            </w:tcBorders>
            <w:shd w:val="clear" w:color="auto" w:fill="auto"/>
            <w:vAlign w:val="center"/>
          </w:tcPr>
          <w:p w14:paraId="26E741C4">
            <w:pPr>
              <w:jc w:val="center"/>
              <w:rPr>
                <w:color w:val="000000"/>
                <w:sz w:val="18"/>
                <w:szCs w:val="18"/>
              </w:rPr>
            </w:pPr>
            <w:r>
              <w:rPr>
                <w:rFonts w:hint="eastAsia"/>
                <w:color w:val="000000"/>
                <w:sz w:val="18"/>
                <w:szCs w:val="18"/>
              </w:rPr>
              <w:t>15KV（空气放电）</w:t>
            </w:r>
          </w:p>
        </w:tc>
        <w:tc>
          <w:tcPr>
            <w:tcW w:w="2497" w:type="dxa"/>
            <w:vMerge w:val="continue"/>
            <w:tcBorders>
              <w:top w:val="nil"/>
              <w:left w:val="single" w:color="auto" w:sz="8" w:space="0"/>
              <w:bottom w:val="single" w:color="auto" w:sz="8" w:space="0"/>
              <w:right w:val="single" w:color="auto" w:sz="8" w:space="0"/>
            </w:tcBorders>
            <w:vAlign w:val="center"/>
          </w:tcPr>
          <w:p w14:paraId="10D2CCC2">
            <w:pPr>
              <w:rPr>
                <w:color w:val="000000"/>
                <w:sz w:val="18"/>
                <w:szCs w:val="18"/>
              </w:rPr>
            </w:pPr>
          </w:p>
        </w:tc>
      </w:tr>
      <w:tr w14:paraId="71028771">
        <w:tblPrEx>
          <w:tblCellMar>
            <w:top w:w="0" w:type="dxa"/>
            <w:left w:w="108" w:type="dxa"/>
            <w:bottom w:w="0" w:type="dxa"/>
            <w:right w:w="108" w:type="dxa"/>
          </w:tblCellMar>
        </w:tblPrEx>
        <w:trPr>
          <w:trHeight w:val="292" w:hRule="atLeast"/>
        </w:trPr>
        <w:tc>
          <w:tcPr>
            <w:tcW w:w="3392" w:type="dxa"/>
            <w:vMerge w:val="restart"/>
            <w:tcBorders>
              <w:top w:val="nil"/>
              <w:left w:val="single" w:color="auto" w:sz="8" w:space="0"/>
              <w:bottom w:val="single" w:color="auto" w:sz="8" w:space="0"/>
              <w:right w:val="single" w:color="auto" w:sz="8" w:space="0"/>
            </w:tcBorders>
            <w:shd w:val="clear" w:color="auto" w:fill="auto"/>
            <w:vAlign w:val="center"/>
          </w:tcPr>
          <w:p w14:paraId="35F0E85E">
            <w:pPr>
              <w:jc w:val="center"/>
              <w:rPr>
                <w:color w:val="000000"/>
                <w:sz w:val="18"/>
                <w:szCs w:val="18"/>
              </w:rPr>
            </w:pPr>
            <w:r>
              <w:rPr>
                <w:rFonts w:hint="eastAsia"/>
                <w:color w:val="000000"/>
                <w:sz w:val="18"/>
                <w:szCs w:val="18"/>
              </w:rPr>
              <w:t>电快速瞬变脉冲群抗扰度</w:t>
            </w:r>
          </w:p>
        </w:tc>
        <w:tc>
          <w:tcPr>
            <w:tcW w:w="3158" w:type="dxa"/>
            <w:tcBorders>
              <w:top w:val="nil"/>
              <w:left w:val="nil"/>
              <w:bottom w:val="single" w:color="auto" w:sz="8" w:space="0"/>
              <w:right w:val="single" w:color="auto" w:sz="8" w:space="0"/>
            </w:tcBorders>
            <w:shd w:val="clear" w:color="auto" w:fill="auto"/>
            <w:vAlign w:val="center"/>
          </w:tcPr>
          <w:p w14:paraId="760F251B">
            <w:pPr>
              <w:jc w:val="center"/>
              <w:rPr>
                <w:color w:val="000000"/>
                <w:sz w:val="18"/>
                <w:szCs w:val="18"/>
              </w:rPr>
            </w:pPr>
            <w:r>
              <w:rPr>
                <w:rFonts w:hint="eastAsia"/>
                <w:color w:val="000000"/>
                <w:sz w:val="18"/>
                <w:szCs w:val="18"/>
              </w:rPr>
              <w:t>±4kV（电源和保护接地端）</w:t>
            </w:r>
          </w:p>
        </w:tc>
        <w:tc>
          <w:tcPr>
            <w:tcW w:w="2497" w:type="dxa"/>
            <w:vMerge w:val="restart"/>
            <w:tcBorders>
              <w:top w:val="nil"/>
              <w:left w:val="single" w:color="auto" w:sz="8" w:space="0"/>
              <w:bottom w:val="single" w:color="auto" w:sz="8" w:space="0"/>
              <w:right w:val="single" w:color="auto" w:sz="8" w:space="0"/>
            </w:tcBorders>
            <w:shd w:val="clear" w:color="auto" w:fill="auto"/>
            <w:vAlign w:val="center"/>
          </w:tcPr>
          <w:p w14:paraId="3E0F6E2D">
            <w:pPr>
              <w:jc w:val="center"/>
              <w:rPr>
                <w:color w:val="000000"/>
                <w:sz w:val="18"/>
                <w:szCs w:val="18"/>
              </w:rPr>
            </w:pPr>
            <w:r>
              <w:rPr>
                <w:rFonts w:hint="eastAsia"/>
                <w:color w:val="000000"/>
                <w:sz w:val="18"/>
                <w:szCs w:val="18"/>
              </w:rPr>
              <w:t>GB/T 17626.4-2018</w:t>
            </w:r>
          </w:p>
        </w:tc>
      </w:tr>
      <w:tr w14:paraId="7413FCAC">
        <w:tblPrEx>
          <w:tblCellMar>
            <w:top w:w="0" w:type="dxa"/>
            <w:left w:w="108" w:type="dxa"/>
            <w:bottom w:w="0" w:type="dxa"/>
            <w:right w:w="108" w:type="dxa"/>
          </w:tblCellMar>
        </w:tblPrEx>
        <w:trPr>
          <w:trHeight w:val="292" w:hRule="atLeast"/>
        </w:trPr>
        <w:tc>
          <w:tcPr>
            <w:tcW w:w="3392" w:type="dxa"/>
            <w:vMerge w:val="continue"/>
            <w:tcBorders>
              <w:top w:val="nil"/>
              <w:left w:val="single" w:color="auto" w:sz="8" w:space="0"/>
              <w:bottom w:val="single" w:color="auto" w:sz="8" w:space="0"/>
              <w:right w:val="single" w:color="auto" w:sz="8" w:space="0"/>
            </w:tcBorders>
            <w:vAlign w:val="center"/>
          </w:tcPr>
          <w:p w14:paraId="0912E4C1">
            <w:pPr>
              <w:rPr>
                <w:color w:val="000000"/>
                <w:sz w:val="18"/>
                <w:szCs w:val="18"/>
              </w:rPr>
            </w:pPr>
          </w:p>
        </w:tc>
        <w:tc>
          <w:tcPr>
            <w:tcW w:w="3158" w:type="dxa"/>
            <w:tcBorders>
              <w:top w:val="nil"/>
              <w:left w:val="nil"/>
              <w:bottom w:val="single" w:color="auto" w:sz="8" w:space="0"/>
              <w:right w:val="single" w:color="auto" w:sz="8" w:space="0"/>
            </w:tcBorders>
            <w:shd w:val="clear" w:color="auto" w:fill="auto"/>
            <w:vAlign w:val="center"/>
          </w:tcPr>
          <w:p w14:paraId="34DE6667">
            <w:pPr>
              <w:jc w:val="center"/>
              <w:rPr>
                <w:color w:val="000000"/>
                <w:sz w:val="18"/>
                <w:szCs w:val="18"/>
              </w:rPr>
            </w:pPr>
            <w:r>
              <w:rPr>
                <w:rFonts w:hint="eastAsia"/>
                <w:color w:val="000000"/>
                <w:sz w:val="18"/>
                <w:szCs w:val="18"/>
              </w:rPr>
              <w:t>±1kV（通信线）</w:t>
            </w:r>
          </w:p>
        </w:tc>
        <w:tc>
          <w:tcPr>
            <w:tcW w:w="2497" w:type="dxa"/>
            <w:vMerge w:val="continue"/>
            <w:tcBorders>
              <w:top w:val="nil"/>
              <w:left w:val="single" w:color="auto" w:sz="8" w:space="0"/>
              <w:bottom w:val="single" w:color="auto" w:sz="8" w:space="0"/>
              <w:right w:val="single" w:color="auto" w:sz="8" w:space="0"/>
            </w:tcBorders>
            <w:vAlign w:val="center"/>
          </w:tcPr>
          <w:p w14:paraId="530B504A">
            <w:pPr>
              <w:rPr>
                <w:color w:val="000000"/>
                <w:sz w:val="18"/>
                <w:szCs w:val="18"/>
              </w:rPr>
            </w:pPr>
          </w:p>
        </w:tc>
      </w:tr>
      <w:tr w14:paraId="56A5E6CE">
        <w:tblPrEx>
          <w:tblCellMar>
            <w:top w:w="0" w:type="dxa"/>
            <w:left w:w="108" w:type="dxa"/>
            <w:bottom w:w="0" w:type="dxa"/>
            <w:right w:w="108" w:type="dxa"/>
          </w:tblCellMar>
        </w:tblPrEx>
        <w:trPr>
          <w:trHeight w:val="122" w:hRule="atLeast"/>
        </w:trPr>
        <w:tc>
          <w:tcPr>
            <w:tcW w:w="3392" w:type="dxa"/>
            <w:tcBorders>
              <w:top w:val="nil"/>
              <w:left w:val="single" w:color="auto" w:sz="8" w:space="0"/>
              <w:bottom w:val="single" w:color="auto" w:sz="8" w:space="0"/>
              <w:right w:val="single" w:color="auto" w:sz="8" w:space="0"/>
            </w:tcBorders>
            <w:shd w:val="clear" w:color="auto" w:fill="auto"/>
            <w:vAlign w:val="center"/>
          </w:tcPr>
          <w:p w14:paraId="3DD151DD">
            <w:pPr>
              <w:jc w:val="center"/>
              <w:rPr>
                <w:color w:val="000000"/>
                <w:sz w:val="18"/>
                <w:szCs w:val="18"/>
              </w:rPr>
            </w:pPr>
            <w:r>
              <w:rPr>
                <w:rFonts w:hint="eastAsia"/>
                <w:color w:val="000000"/>
                <w:sz w:val="18"/>
                <w:szCs w:val="18"/>
              </w:rPr>
              <w:t>阻尼振荡波抗扰度</w:t>
            </w:r>
          </w:p>
        </w:tc>
        <w:tc>
          <w:tcPr>
            <w:tcW w:w="3158" w:type="dxa"/>
            <w:tcBorders>
              <w:top w:val="nil"/>
              <w:left w:val="nil"/>
              <w:bottom w:val="single" w:color="auto" w:sz="8" w:space="0"/>
              <w:right w:val="single" w:color="auto" w:sz="8" w:space="0"/>
            </w:tcBorders>
            <w:shd w:val="clear" w:color="auto" w:fill="auto"/>
            <w:vAlign w:val="center"/>
          </w:tcPr>
          <w:p w14:paraId="223E5D09">
            <w:pPr>
              <w:jc w:val="center"/>
              <w:rPr>
                <w:color w:val="000000"/>
                <w:sz w:val="18"/>
                <w:szCs w:val="18"/>
              </w:rPr>
            </w:pPr>
            <w:r>
              <w:rPr>
                <w:rFonts w:hint="eastAsia"/>
                <w:color w:val="000000"/>
                <w:sz w:val="18"/>
                <w:szCs w:val="18"/>
              </w:rPr>
              <w:t>2.5kV（共模），1.25kV（差模）</w:t>
            </w:r>
          </w:p>
        </w:tc>
        <w:tc>
          <w:tcPr>
            <w:tcW w:w="2497" w:type="dxa"/>
            <w:tcBorders>
              <w:top w:val="nil"/>
              <w:left w:val="nil"/>
              <w:bottom w:val="single" w:color="auto" w:sz="8" w:space="0"/>
              <w:right w:val="single" w:color="auto" w:sz="8" w:space="0"/>
            </w:tcBorders>
            <w:shd w:val="clear" w:color="auto" w:fill="auto"/>
            <w:vAlign w:val="center"/>
          </w:tcPr>
          <w:p w14:paraId="4D83DC43">
            <w:pPr>
              <w:jc w:val="center"/>
              <w:rPr>
                <w:color w:val="000000"/>
                <w:sz w:val="18"/>
                <w:szCs w:val="18"/>
              </w:rPr>
            </w:pPr>
            <w:r>
              <w:rPr>
                <w:rFonts w:hint="eastAsia"/>
                <w:color w:val="000000"/>
                <w:sz w:val="18"/>
                <w:szCs w:val="18"/>
              </w:rPr>
              <w:t>GB/T 17626.18-2016</w:t>
            </w:r>
          </w:p>
        </w:tc>
      </w:tr>
      <w:tr w14:paraId="52F3D7B0">
        <w:tblPrEx>
          <w:tblCellMar>
            <w:top w:w="0" w:type="dxa"/>
            <w:left w:w="108" w:type="dxa"/>
            <w:bottom w:w="0" w:type="dxa"/>
            <w:right w:w="108" w:type="dxa"/>
          </w:tblCellMar>
        </w:tblPrEx>
        <w:trPr>
          <w:trHeight w:val="122" w:hRule="atLeast"/>
        </w:trPr>
        <w:tc>
          <w:tcPr>
            <w:tcW w:w="3392" w:type="dxa"/>
            <w:tcBorders>
              <w:top w:val="nil"/>
              <w:left w:val="single" w:color="auto" w:sz="8" w:space="0"/>
              <w:bottom w:val="single" w:color="auto" w:sz="8" w:space="0"/>
              <w:right w:val="single" w:color="auto" w:sz="8" w:space="0"/>
            </w:tcBorders>
            <w:shd w:val="clear" w:color="auto" w:fill="auto"/>
            <w:vAlign w:val="center"/>
          </w:tcPr>
          <w:p w14:paraId="35945F54">
            <w:pPr>
              <w:jc w:val="center"/>
              <w:rPr>
                <w:color w:val="000000"/>
                <w:sz w:val="18"/>
                <w:szCs w:val="18"/>
              </w:rPr>
            </w:pPr>
            <w:r>
              <w:rPr>
                <w:rFonts w:hint="eastAsia"/>
                <w:color w:val="000000"/>
                <w:sz w:val="18"/>
                <w:szCs w:val="18"/>
              </w:rPr>
              <w:t>浪涌抗扰度</w:t>
            </w:r>
          </w:p>
        </w:tc>
        <w:tc>
          <w:tcPr>
            <w:tcW w:w="3158" w:type="dxa"/>
            <w:tcBorders>
              <w:top w:val="nil"/>
              <w:left w:val="nil"/>
              <w:bottom w:val="single" w:color="auto" w:sz="8" w:space="0"/>
              <w:right w:val="single" w:color="auto" w:sz="8" w:space="0"/>
            </w:tcBorders>
            <w:shd w:val="clear" w:color="auto" w:fill="auto"/>
            <w:vAlign w:val="center"/>
          </w:tcPr>
          <w:p w14:paraId="1819E1F9">
            <w:pPr>
              <w:jc w:val="center"/>
              <w:rPr>
                <w:color w:val="000000"/>
                <w:sz w:val="18"/>
                <w:szCs w:val="18"/>
              </w:rPr>
            </w:pPr>
            <w:r>
              <w:rPr>
                <w:rFonts w:hint="eastAsia"/>
                <w:color w:val="000000"/>
                <w:sz w:val="18"/>
                <w:szCs w:val="18"/>
              </w:rPr>
              <w:t>4.0kV（共模），2.0kV（差模）</w:t>
            </w:r>
          </w:p>
        </w:tc>
        <w:tc>
          <w:tcPr>
            <w:tcW w:w="2497" w:type="dxa"/>
            <w:tcBorders>
              <w:top w:val="nil"/>
              <w:left w:val="nil"/>
              <w:bottom w:val="single" w:color="auto" w:sz="8" w:space="0"/>
              <w:right w:val="single" w:color="auto" w:sz="8" w:space="0"/>
            </w:tcBorders>
            <w:shd w:val="clear" w:color="auto" w:fill="auto"/>
            <w:vAlign w:val="center"/>
          </w:tcPr>
          <w:p w14:paraId="33FED9BC">
            <w:pPr>
              <w:jc w:val="center"/>
              <w:rPr>
                <w:color w:val="000000"/>
                <w:sz w:val="18"/>
                <w:szCs w:val="18"/>
              </w:rPr>
            </w:pPr>
            <w:r>
              <w:rPr>
                <w:rFonts w:hint="eastAsia"/>
                <w:color w:val="000000"/>
                <w:sz w:val="18"/>
                <w:szCs w:val="18"/>
              </w:rPr>
              <w:t>GB/T 17626.5-2019</w:t>
            </w:r>
          </w:p>
        </w:tc>
      </w:tr>
      <w:bookmarkEnd w:id="115"/>
      <w:bookmarkEnd w:id="116"/>
      <w:bookmarkEnd w:id="117"/>
      <w:bookmarkEnd w:id="118"/>
      <w:bookmarkEnd w:id="119"/>
      <w:bookmarkEnd w:id="120"/>
      <w:bookmarkEnd w:id="121"/>
      <w:bookmarkEnd w:id="122"/>
      <w:bookmarkEnd w:id="123"/>
      <w:bookmarkEnd w:id="124"/>
    </w:tbl>
    <w:p w14:paraId="6FA66555">
      <w:pPr>
        <w:pStyle w:val="34"/>
        <w:numPr>
          <w:ilvl w:val="1"/>
          <w:numId w:val="14"/>
        </w:numPr>
        <w:spacing w:before="156" w:after="156"/>
      </w:pPr>
      <w:bookmarkStart w:id="130" w:name="_Toc8382"/>
      <w:bookmarkStart w:id="131" w:name="_Toc90668992"/>
      <w:bookmarkStart w:id="132" w:name="_Toc164421260"/>
      <w:r>
        <w:rPr>
          <w:rFonts w:hint="eastAsia"/>
        </w:rPr>
        <w:t>定位性能</w:t>
      </w:r>
      <w:bookmarkEnd w:id="130"/>
      <w:bookmarkEnd w:id="131"/>
      <w:bookmarkEnd w:id="132"/>
    </w:p>
    <w:p w14:paraId="5D8A6B62">
      <w:pPr>
        <w:pStyle w:val="36"/>
        <w:numPr>
          <w:ilvl w:val="2"/>
          <w:numId w:val="14"/>
        </w:numPr>
        <w:spacing w:before="156" w:after="156"/>
      </w:pPr>
      <w:bookmarkStart w:id="133" w:name="_Hlk161048631"/>
      <w:r>
        <w:rPr>
          <w:rFonts w:hint="eastAsia"/>
        </w:rPr>
        <w:t>卫星信号接收及通道数</w:t>
      </w:r>
    </w:p>
    <w:bookmarkEnd w:id="133"/>
    <w:p w14:paraId="22467209">
      <w:pPr>
        <w:pStyle w:val="41"/>
      </w:pPr>
      <w:r>
        <w:rPr>
          <w:rFonts w:hint="eastAsia"/>
          <w:szCs w:val="22"/>
        </w:rPr>
        <w:t>应符合</w:t>
      </w:r>
      <w:r>
        <w:rPr>
          <w:rFonts w:hAnsi="宋体" w:cs="宋体"/>
          <w:szCs w:val="21"/>
        </w:rPr>
        <w:t>GB/T 39399-2020</w:t>
      </w:r>
      <w:r>
        <w:rPr>
          <w:rFonts w:hint="eastAsia" w:hAnsi="宋体" w:cs="宋体"/>
          <w:szCs w:val="21"/>
        </w:rPr>
        <w:t>的规定，</w:t>
      </w:r>
      <w:r>
        <w:rPr>
          <w:rFonts w:hint="eastAsia"/>
          <w:szCs w:val="22"/>
        </w:rPr>
        <w:t>支持</w:t>
      </w:r>
      <w:r>
        <w:rPr>
          <w:szCs w:val="22"/>
        </w:rPr>
        <w:t xml:space="preserve">BDS </w:t>
      </w:r>
      <w:r>
        <w:rPr>
          <w:rFonts w:hint="eastAsia"/>
          <w:szCs w:val="22"/>
        </w:rPr>
        <w:t>B1I频点、B1C频点、B</w:t>
      </w:r>
      <w:r>
        <w:rPr>
          <w:szCs w:val="22"/>
        </w:rPr>
        <w:t>2</w:t>
      </w:r>
      <w:r>
        <w:rPr>
          <w:rFonts w:hint="eastAsia"/>
          <w:szCs w:val="22"/>
        </w:rPr>
        <w:t>a频点、B</w:t>
      </w:r>
      <w:r>
        <w:rPr>
          <w:szCs w:val="22"/>
        </w:rPr>
        <w:t>2</w:t>
      </w:r>
      <w:r>
        <w:rPr>
          <w:rFonts w:hint="eastAsia"/>
          <w:szCs w:val="22"/>
        </w:rPr>
        <w:t>b频点定位能力，单</w:t>
      </w:r>
      <w:r>
        <w:rPr>
          <w:rFonts w:hint="eastAsia" w:hAnsi="宋体"/>
          <w:szCs w:val="21"/>
        </w:rPr>
        <w:t>个频点</w:t>
      </w:r>
      <w:r>
        <w:rPr>
          <w:rFonts w:hint="eastAsia"/>
        </w:rPr>
        <w:t>卫星通道数不应少于12个。</w:t>
      </w:r>
    </w:p>
    <w:p w14:paraId="0391782C">
      <w:pPr>
        <w:pStyle w:val="41"/>
        <w:ind w:firstLine="0" w:firstLineChars="0"/>
        <w:rPr>
          <w:rFonts w:ascii="黑体" w:hAnsi="黑体" w:eastAsia="黑体"/>
        </w:rPr>
      </w:pPr>
      <w:r>
        <w:rPr>
          <w:rStyle w:val="126"/>
          <w:rFonts w:hint="eastAsia" w:ascii="黑体" w:hAnsi="黑体" w:eastAsia="黑体"/>
          <w:color w:val="101214"/>
          <w:sz w:val="18"/>
          <w:szCs w:val="18"/>
        </w:rPr>
        <w:t>注：</w:t>
      </w:r>
      <w:r>
        <w:rPr>
          <w:rFonts w:hint="eastAsia" w:asciiTheme="minorEastAsia" w:hAnsiTheme="minorEastAsia" w:eastAsiaTheme="minorEastAsia"/>
          <w:sz w:val="18"/>
          <w:szCs w:val="18"/>
        </w:rPr>
        <w:t>北斗卫星导航系统分为北斗一号、北斗二号和北斗三号三个建设发展阶段。北斗卫星导航系统目前已发布的公开服务信号包括</w:t>
      </w:r>
      <w:r>
        <w:rPr>
          <w:rFonts w:asciiTheme="minorEastAsia" w:hAnsiTheme="minorEastAsia" w:eastAsiaTheme="minorEastAsia"/>
          <w:sz w:val="18"/>
          <w:szCs w:val="18"/>
        </w:rPr>
        <w:t>B1I,B2I,B3I,B1C和B2a。其中, B1I,B3I信号在北斗二号和北斗三号的中圆地球轨道(MEO)卫星、倾斜地球同步轨道(IGSO)卫星和地球静止轨道(GEO)卫星上播发，提供公开服务;B2I信号在北斗二号所有卫星上播发，提供公开服务,在北斗三号卫星上将被B2a信号取代;B1C、B2a信号在北斗三号中圆地球轨道(MEO)卫星和倾斜地球同步轨道(IGSO)卫星上播发提供开服务。</w:t>
      </w:r>
      <w:r>
        <w:rPr>
          <w:rFonts w:hint="eastAsia" w:asciiTheme="minorEastAsia" w:hAnsiTheme="minorEastAsia" w:eastAsiaTheme="minorEastAsia"/>
          <w:sz w:val="18"/>
          <w:szCs w:val="18"/>
        </w:rPr>
        <w:t>B</w:t>
      </w:r>
      <w:r>
        <w:rPr>
          <w:rFonts w:asciiTheme="minorEastAsia" w:hAnsiTheme="minorEastAsia" w:eastAsiaTheme="minorEastAsia"/>
          <w:sz w:val="18"/>
          <w:szCs w:val="18"/>
        </w:rPr>
        <w:t>2b</w:t>
      </w:r>
      <w:r>
        <w:rPr>
          <w:rFonts w:hint="eastAsia" w:asciiTheme="minorEastAsia" w:hAnsiTheme="minorEastAsia" w:eastAsiaTheme="minorEastAsia"/>
          <w:sz w:val="18"/>
          <w:szCs w:val="18"/>
        </w:rPr>
        <w:t>为</w:t>
      </w:r>
      <w:r>
        <w:rPr>
          <w:rFonts w:asciiTheme="minorEastAsia" w:hAnsiTheme="minorEastAsia" w:eastAsiaTheme="minorEastAsia"/>
          <w:sz w:val="18"/>
          <w:szCs w:val="18"/>
        </w:rPr>
        <w:t>北斗系统精密单点定位（PPP）服务空间信号数据播发通道</w:t>
      </w:r>
      <w:r>
        <w:rPr>
          <w:rFonts w:hint="eastAsia" w:asciiTheme="minorEastAsia" w:hAnsiTheme="minorEastAsia" w:eastAsiaTheme="minorEastAsia"/>
          <w:sz w:val="18"/>
          <w:szCs w:val="18"/>
        </w:rPr>
        <w:t>(北斗卫星导航系统公开服务性能规范（3.0版）、北斗卫星导航系统空间信号接口控制文件精密单点定位服务信号</w:t>
      </w:r>
      <w:r>
        <w:rPr>
          <w:rFonts w:asciiTheme="minorEastAsia" w:hAnsiTheme="minorEastAsia" w:eastAsiaTheme="minorEastAsia"/>
          <w:sz w:val="18"/>
          <w:szCs w:val="18"/>
        </w:rPr>
        <w:t>PPP-B2b（1.0版）</w:t>
      </w:r>
      <w:r>
        <w:rPr>
          <w:rFonts w:hint="eastAsia" w:asciiTheme="minorEastAsia" w:hAnsiTheme="minorEastAsia" w:eastAsiaTheme="minorEastAsia"/>
          <w:sz w:val="18"/>
          <w:szCs w:val="18"/>
        </w:rPr>
        <w:t>文件</w:t>
      </w:r>
      <w:r>
        <w:rPr>
          <w:rFonts w:asciiTheme="minorEastAsia" w:hAnsiTheme="minorEastAsia" w:eastAsiaTheme="minorEastAsia"/>
          <w:sz w:val="18"/>
          <w:szCs w:val="18"/>
        </w:rPr>
        <w:t>)</w:t>
      </w:r>
      <w:r>
        <w:rPr>
          <w:rFonts w:hint="eastAsia" w:asciiTheme="minorEastAsia" w:hAnsiTheme="minorEastAsia" w:eastAsiaTheme="minorEastAsia"/>
          <w:sz w:val="18"/>
          <w:szCs w:val="18"/>
        </w:rPr>
        <w:t>。</w:t>
      </w:r>
    </w:p>
    <w:p w14:paraId="7EBBEC99">
      <w:pPr>
        <w:pStyle w:val="36"/>
        <w:numPr>
          <w:ilvl w:val="2"/>
          <w:numId w:val="14"/>
        </w:numPr>
        <w:spacing w:before="156" w:after="156"/>
      </w:pPr>
      <w:bookmarkStart w:id="134" w:name="_Hlk161048642"/>
      <w:r>
        <w:rPr>
          <w:rFonts w:hint="eastAsia"/>
        </w:rPr>
        <w:t>定位精度</w:t>
      </w:r>
    </w:p>
    <w:bookmarkEnd w:id="134"/>
    <w:p w14:paraId="0A70A7C4">
      <w:pPr>
        <w:pStyle w:val="41"/>
      </w:pPr>
      <w:r>
        <w:rPr>
          <w:rFonts w:hint="eastAsia"/>
        </w:rPr>
        <w:t>普通单点定位模式开阔无遮挡地区水平精度应优于5</w:t>
      </w:r>
      <w:r>
        <w:t>m</w:t>
      </w:r>
      <w:r>
        <w:rPr>
          <w:rFonts w:hint="eastAsia"/>
        </w:rPr>
        <w:t>，垂直精度应优于10</w:t>
      </w:r>
      <w:r>
        <w:t>m</w:t>
      </w:r>
      <w:r>
        <w:rPr>
          <w:rFonts w:hint="eastAsia"/>
        </w:rPr>
        <w:t>。</w:t>
      </w:r>
      <w:r>
        <w:rPr>
          <w:rFonts w:hint="eastAsia"/>
          <w:szCs w:val="21"/>
        </w:rPr>
        <w:t>（GB/T 39399-2020,4.9）</w:t>
      </w:r>
      <w:r>
        <w:t>PPP</w:t>
      </w:r>
      <w:r>
        <w:rPr>
          <w:rFonts w:hint="eastAsia"/>
        </w:rPr>
        <w:t>定位模式开阔无遮挡地区水平精度应优于</w:t>
      </w:r>
      <w:r>
        <w:t>30</w:t>
      </w:r>
      <w:r>
        <w:rPr>
          <w:rFonts w:hint="eastAsia"/>
        </w:rPr>
        <w:t>cm，垂直精度应优于</w:t>
      </w:r>
      <w:r>
        <w:t>50cm</w:t>
      </w:r>
      <w:r>
        <w:rPr>
          <w:rFonts w:hint="eastAsia"/>
        </w:rPr>
        <w:t>，初次定位收敛时间小于3</w:t>
      </w:r>
      <w:r>
        <w:t>0min</w:t>
      </w:r>
      <w:r>
        <w:rPr>
          <w:rFonts w:hint="eastAsia"/>
        </w:rPr>
        <w:t>。</w:t>
      </w:r>
    </w:p>
    <w:p w14:paraId="1EE0B92F">
      <w:pPr>
        <w:pStyle w:val="36"/>
        <w:numPr>
          <w:ilvl w:val="2"/>
          <w:numId w:val="9"/>
        </w:numPr>
        <w:spacing w:before="156" w:after="156"/>
        <w:rPr>
          <w:rFonts w:hAnsi="黑体"/>
        </w:rPr>
      </w:pPr>
      <w:r>
        <w:rPr>
          <w:rFonts w:hint="eastAsia"/>
        </w:rPr>
        <w:t>授时精度</w:t>
      </w:r>
    </w:p>
    <w:p w14:paraId="2E2D15A5">
      <w:pPr>
        <w:pStyle w:val="41"/>
      </w:pPr>
      <w:r>
        <w:rPr>
          <w:rFonts w:hint="eastAsia"/>
        </w:rPr>
        <w:t>应符合</w:t>
      </w:r>
      <w:r>
        <w:t>GB/T 37937-2019</w:t>
      </w:r>
      <w:r>
        <w:rPr>
          <w:rFonts w:hint="eastAsia"/>
        </w:rPr>
        <w:t>,9.1,1的规定，授时精度不</w:t>
      </w:r>
      <w:r>
        <w:t>应</w:t>
      </w:r>
      <w:r>
        <w:rPr>
          <w:rFonts w:hint="eastAsia"/>
        </w:rPr>
        <w:t>大于5</w:t>
      </w:r>
      <w:r>
        <w:t>0ns</w:t>
      </w:r>
      <w:r>
        <w:rPr>
          <w:rFonts w:hint="eastAsia"/>
        </w:rPr>
        <w:t>。</w:t>
      </w:r>
    </w:p>
    <w:p w14:paraId="12A41F0E">
      <w:pPr>
        <w:pStyle w:val="36"/>
        <w:numPr>
          <w:ilvl w:val="2"/>
          <w:numId w:val="9"/>
        </w:numPr>
        <w:spacing w:before="156" w:after="156"/>
      </w:pPr>
      <w:r>
        <w:rPr>
          <w:rFonts w:hint="eastAsia"/>
        </w:rPr>
        <w:t>捕获灵敏度</w:t>
      </w:r>
    </w:p>
    <w:p w14:paraId="3D4813D5">
      <w:pPr>
        <w:pStyle w:val="41"/>
      </w:pPr>
      <w:r>
        <w:rPr>
          <w:rFonts w:hint="eastAsia"/>
          <w:szCs w:val="21"/>
        </w:rPr>
        <w:t>应符合GB/T39399-2020,4.6.3的规定，</w:t>
      </w:r>
      <w:r>
        <w:rPr>
          <w:rFonts w:hint="eastAsia"/>
        </w:rPr>
        <w:t>在卫星截止高度角大于5</w:t>
      </w:r>
      <w:r>
        <w:t>°</w:t>
      </w:r>
      <w:r>
        <w:rPr>
          <w:rFonts w:hint="eastAsia"/>
        </w:rPr>
        <w:t>条件下，捕获灵敏度≤</w:t>
      </w:r>
      <w:r>
        <w:t>-133</w:t>
      </w:r>
      <w:r>
        <w:rPr>
          <w:rFonts w:hint="eastAsia"/>
        </w:rPr>
        <w:t>dBm。</w:t>
      </w:r>
    </w:p>
    <w:p w14:paraId="112DB19E">
      <w:pPr>
        <w:pStyle w:val="36"/>
        <w:numPr>
          <w:ilvl w:val="2"/>
          <w:numId w:val="14"/>
        </w:numPr>
        <w:spacing w:before="156" w:after="156"/>
      </w:pPr>
      <w:r>
        <w:rPr>
          <w:rFonts w:hint="eastAsia"/>
        </w:rPr>
        <w:t>跟踪灵敏度</w:t>
      </w:r>
    </w:p>
    <w:p w14:paraId="2103A8B5">
      <w:pPr>
        <w:pStyle w:val="41"/>
      </w:pPr>
      <w:r>
        <w:rPr>
          <w:rFonts w:hint="eastAsia"/>
        </w:rPr>
        <w:t>应符合</w:t>
      </w:r>
      <w:r>
        <w:rPr>
          <w:rFonts w:hint="eastAsia"/>
          <w:szCs w:val="21"/>
        </w:rPr>
        <w:t>GB/T39399-2020,4.6.4的规定，</w:t>
      </w:r>
      <w:r>
        <w:rPr>
          <w:rFonts w:hint="eastAsia"/>
        </w:rPr>
        <w:t>在卫星截止高度角大于5</w:t>
      </w:r>
      <w:r>
        <w:t>°</w:t>
      </w:r>
      <w:r>
        <w:rPr>
          <w:rFonts w:hint="eastAsia"/>
        </w:rPr>
        <w:t>条件下，跟踪灵敏度≤</w:t>
      </w:r>
      <w:r>
        <w:t>-136</w:t>
      </w:r>
      <w:r>
        <w:rPr>
          <w:rFonts w:hint="eastAsia"/>
        </w:rPr>
        <w:t>dBm。</w:t>
      </w:r>
    </w:p>
    <w:p w14:paraId="246BE4F9">
      <w:pPr>
        <w:pStyle w:val="36"/>
        <w:numPr>
          <w:ilvl w:val="2"/>
          <w:numId w:val="14"/>
        </w:numPr>
        <w:spacing w:before="156" w:after="156"/>
      </w:pPr>
      <w:r>
        <w:rPr>
          <w:rFonts w:hint="eastAsia"/>
        </w:rPr>
        <w:t>冷启动首次定位时间</w:t>
      </w:r>
    </w:p>
    <w:p w14:paraId="5A3BE74B">
      <w:pPr>
        <w:pStyle w:val="41"/>
      </w:pPr>
      <w:r>
        <w:rPr>
          <w:rFonts w:hint="eastAsia"/>
        </w:rPr>
        <w:t>应符合</w:t>
      </w:r>
      <w:r>
        <w:t>BD 420006—2015</w:t>
      </w:r>
      <w:r>
        <w:rPr>
          <w:rFonts w:hint="eastAsia"/>
          <w:szCs w:val="21"/>
        </w:rPr>
        <w:t>,4.4.2.1的规定，</w:t>
      </w:r>
      <w:r>
        <w:rPr>
          <w:rFonts w:hint="eastAsia"/>
        </w:rPr>
        <w:t>在输入卫星导航信号功率电平为</w:t>
      </w:r>
      <w:r>
        <w:t>-1</w:t>
      </w:r>
      <w:r>
        <w:rPr>
          <w:rFonts w:hint="eastAsia"/>
        </w:rPr>
        <w:t>30</w:t>
      </w:r>
      <w:r>
        <w:t>dBm</w:t>
      </w:r>
      <w:r>
        <w:rPr>
          <w:rFonts w:hint="eastAsia"/>
        </w:rPr>
        <w:t>时，通信单元在概略位置、概略时间、星历和历书未知的状态下开机，到首次能够在其后</w:t>
      </w:r>
      <w:r>
        <w:t>10s</w:t>
      </w:r>
      <w:r>
        <w:rPr>
          <w:rFonts w:hint="eastAsia"/>
        </w:rPr>
        <w:t>连续输出三维定位误差小于</w:t>
      </w:r>
      <w:r>
        <w:t>100m</w:t>
      </w:r>
      <w:r>
        <w:rPr>
          <w:rFonts w:hint="eastAsia"/>
        </w:rPr>
        <w:t>的定位数据，所需时间不应超过</w:t>
      </w:r>
      <w:r>
        <w:t>60s</w:t>
      </w:r>
      <w:r>
        <w:rPr>
          <w:rFonts w:hint="eastAsia"/>
        </w:rPr>
        <w:t>。</w:t>
      </w:r>
    </w:p>
    <w:p w14:paraId="472502FC">
      <w:pPr>
        <w:pStyle w:val="36"/>
        <w:numPr>
          <w:ilvl w:val="2"/>
          <w:numId w:val="14"/>
        </w:numPr>
        <w:spacing w:before="156" w:after="156"/>
      </w:pPr>
      <w:r>
        <w:rPr>
          <w:rFonts w:hint="eastAsia"/>
        </w:rPr>
        <w:t>热启动首次定位时间</w:t>
      </w:r>
    </w:p>
    <w:p w14:paraId="71F0561C">
      <w:pPr>
        <w:pStyle w:val="41"/>
        <w:rPr>
          <w:szCs w:val="21"/>
        </w:rPr>
      </w:pPr>
      <w:r>
        <w:rPr>
          <w:rFonts w:hint="eastAsia"/>
        </w:rPr>
        <w:t>应符合</w:t>
      </w:r>
      <w:r>
        <w:t>BD 420006—2015</w:t>
      </w:r>
      <w:r>
        <w:rPr>
          <w:rFonts w:hint="eastAsia"/>
          <w:szCs w:val="21"/>
        </w:rPr>
        <w:t>,4.4.2.2的规定，在输入卫星导航信号功率电平为</w:t>
      </w:r>
      <w:r>
        <w:t>-1</w:t>
      </w:r>
      <w:r>
        <w:rPr>
          <w:rFonts w:hint="eastAsia"/>
        </w:rPr>
        <w:t>30</w:t>
      </w:r>
      <w:r>
        <w:t>dBm</w:t>
      </w:r>
      <w:r>
        <w:rPr>
          <w:rFonts w:hint="eastAsia"/>
        </w:rPr>
        <w:t>时</w:t>
      </w:r>
      <w:r>
        <w:rPr>
          <w:rFonts w:hint="eastAsia"/>
          <w:szCs w:val="21"/>
        </w:rPr>
        <w:t>，通信单元在概略位置、概略时间、星历和历书已知的状态下开机，到首次能够在其后</w:t>
      </w:r>
      <w:r>
        <w:rPr>
          <w:szCs w:val="21"/>
        </w:rPr>
        <w:t>10s</w:t>
      </w:r>
      <w:r>
        <w:rPr>
          <w:rFonts w:hint="eastAsia"/>
          <w:szCs w:val="21"/>
        </w:rPr>
        <w:t>连续输出三维定位误差小于</w:t>
      </w:r>
      <w:r>
        <w:rPr>
          <w:szCs w:val="21"/>
        </w:rPr>
        <w:t>100m</w:t>
      </w:r>
      <w:r>
        <w:rPr>
          <w:rFonts w:hint="eastAsia"/>
          <w:szCs w:val="21"/>
        </w:rPr>
        <w:t>的定位数据，所需时间不应超过</w:t>
      </w:r>
      <w:r>
        <w:rPr>
          <w:rFonts w:hint="eastAsia" w:ascii="TimesNewRomanPSMT" w:hAnsi="TimesNewRomanPSMT"/>
          <w:szCs w:val="21"/>
        </w:rPr>
        <w:t>5</w:t>
      </w:r>
      <w:r>
        <w:rPr>
          <w:rFonts w:ascii="TimesNewRomanPSMT" w:hAnsi="TimesNewRomanPSMT"/>
          <w:szCs w:val="21"/>
        </w:rPr>
        <w:t>s</w:t>
      </w:r>
      <w:r>
        <w:rPr>
          <w:rFonts w:hint="eastAsia"/>
          <w:szCs w:val="21"/>
        </w:rPr>
        <w:t>。</w:t>
      </w:r>
    </w:p>
    <w:p w14:paraId="2C2464D6">
      <w:pPr>
        <w:pStyle w:val="34"/>
        <w:numPr>
          <w:ilvl w:val="1"/>
          <w:numId w:val="14"/>
        </w:numPr>
        <w:spacing w:before="156" w:after="156"/>
      </w:pPr>
      <w:bookmarkStart w:id="135" w:name="_Toc164421261"/>
      <w:bookmarkStart w:id="136" w:name="_Toc27173"/>
      <w:r>
        <w:rPr>
          <w:rFonts w:hint="eastAsia"/>
        </w:rPr>
        <w:t>数据接口</w:t>
      </w:r>
      <w:bookmarkEnd w:id="135"/>
      <w:bookmarkEnd w:id="136"/>
    </w:p>
    <w:p w14:paraId="0B3D388B">
      <w:pPr>
        <w:pStyle w:val="41"/>
      </w:pPr>
      <w:r>
        <w:rPr>
          <w:rFonts w:hint="eastAsia"/>
        </w:rPr>
        <w:t>通信单元与终端之间数据接口协议应符合</w:t>
      </w:r>
      <w:bookmarkStart w:id="137" w:name="_Hlk161048690"/>
      <w:r>
        <w:rPr>
          <w:szCs w:val="21"/>
        </w:rPr>
        <w:t>T/CIMA0092</w:t>
      </w:r>
      <w:r>
        <w:rPr>
          <w:rFonts w:hint="eastAsia"/>
          <w:szCs w:val="21"/>
        </w:rPr>
        <w:t>.</w:t>
      </w:r>
      <w:r>
        <w:rPr>
          <w:szCs w:val="21"/>
        </w:rPr>
        <w:t>2-2024</w:t>
      </w:r>
      <w:bookmarkEnd w:id="137"/>
      <w:r>
        <w:rPr>
          <w:rFonts w:hint="eastAsia"/>
          <w:szCs w:val="21"/>
        </w:rPr>
        <w:t>的规定</w:t>
      </w:r>
      <w:r>
        <w:rPr>
          <w:rFonts w:hint="eastAsia"/>
        </w:rPr>
        <w:t>。</w:t>
      </w:r>
    </w:p>
    <w:p w14:paraId="46AED4F5">
      <w:pPr>
        <w:pStyle w:val="34"/>
        <w:numPr>
          <w:ilvl w:val="1"/>
          <w:numId w:val="14"/>
        </w:numPr>
        <w:spacing w:before="156" w:after="156"/>
      </w:pPr>
      <w:bookmarkStart w:id="138" w:name="_Toc29558"/>
      <w:bookmarkStart w:id="139" w:name="_Toc164421262"/>
      <w:bookmarkStart w:id="140" w:name="_Toc27568"/>
      <w:r>
        <w:rPr>
          <w:rFonts w:hint="eastAsia"/>
        </w:rPr>
        <w:t>通信性能</w:t>
      </w:r>
      <w:bookmarkEnd w:id="138"/>
      <w:bookmarkEnd w:id="139"/>
    </w:p>
    <w:p w14:paraId="3C2C9824">
      <w:pPr>
        <w:pStyle w:val="36"/>
        <w:numPr>
          <w:ilvl w:val="2"/>
          <w:numId w:val="14"/>
        </w:numPr>
        <w:spacing w:before="156" w:after="156"/>
      </w:pPr>
      <w:r>
        <w:rPr>
          <w:rFonts w:hint="eastAsia"/>
        </w:rPr>
        <w:t>传输特性</w:t>
      </w:r>
    </w:p>
    <w:p w14:paraId="15D56E74">
      <w:pPr>
        <w:pStyle w:val="41"/>
      </w:pPr>
      <w:r>
        <w:rPr>
          <w:rFonts w:hint="eastAsia"/>
        </w:rPr>
        <w:t>应符合</w:t>
      </w:r>
      <w:r>
        <w:rPr>
          <w:rFonts w:hAnsi="宋体" w:cs="宋体"/>
          <w:szCs w:val="21"/>
        </w:rPr>
        <w:t>YD/T 1214-2006</w:t>
      </w:r>
      <w:r>
        <w:rPr>
          <w:rFonts w:hint="eastAsia" w:hAnsi="宋体"/>
          <w:kern w:val="2"/>
        </w:rPr>
        <w:t>和</w:t>
      </w:r>
      <w:r>
        <w:rPr>
          <w:rFonts w:hAnsi="宋体" w:cs="宋体"/>
          <w:szCs w:val="21"/>
        </w:rPr>
        <w:t>YD/T 1208-2002</w:t>
      </w:r>
      <w:r>
        <w:rPr>
          <w:rFonts w:hint="eastAsia" w:hAnsi="宋体"/>
          <w:kern w:val="2"/>
        </w:rPr>
        <w:t>的</w:t>
      </w:r>
      <w:r>
        <w:rPr>
          <w:rFonts w:hint="eastAsia"/>
        </w:rPr>
        <w:t>规定，采用国家无线电管理机构对用于某种业务的相应设备所规定的工作频率范围，通信单元工作频率与射频性能要求应符合表</w:t>
      </w:r>
      <w:r>
        <w:t>5。</w:t>
      </w:r>
    </w:p>
    <w:p w14:paraId="37FB15A8">
      <w:pPr>
        <w:pStyle w:val="54"/>
        <w:tabs>
          <w:tab w:val="left" w:pos="360"/>
        </w:tabs>
        <w:spacing w:before="156" w:after="156"/>
        <w:ind w:left="426"/>
      </w:pPr>
      <w:r>
        <w:t>工作频率与射频性能要求</w:t>
      </w:r>
    </w:p>
    <w:tbl>
      <w:tblPr>
        <w:tblStyle w:val="25"/>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842"/>
        <w:gridCol w:w="425"/>
        <w:gridCol w:w="2182"/>
        <w:gridCol w:w="412"/>
        <w:gridCol w:w="1774"/>
        <w:gridCol w:w="400"/>
        <w:gridCol w:w="1576"/>
      </w:tblGrid>
      <w:tr w14:paraId="7ABA1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7" w:hRule="atLeast"/>
        </w:trPr>
        <w:tc>
          <w:tcPr>
            <w:tcW w:w="1101" w:type="dxa"/>
            <w:vAlign w:val="center"/>
          </w:tcPr>
          <w:p w14:paraId="367AACBE">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指标</w:t>
            </w:r>
          </w:p>
        </w:tc>
        <w:tc>
          <w:tcPr>
            <w:tcW w:w="1842" w:type="dxa"/>
            <w:vAlign w:val="center"/>
          </w:tcPr>
          <w:p w14:paraId="1B41BF48">
            <w:pPr>
              <w:jc w:val="center"/>
              <w:rPr>
                <w:rFonts w:asciiTheme="minorEastAsia" w:hAnsiTheme="minorEastAsia" w:eastAsiaTheme="minorEastAsia"/>
                <w:sz w:val="18"/>
                <w:szCs w:val="18"/>
              </w:rPr>
            </w:pPr>
            <w:r>
              <w:rPr>
                <w:rFonts w:asciiTheme="minorEastAsia" w:hAnsiTheme="minorEastAsia" w:eastAsiaTheme="minorEastAsia"/>
                <w:sz w:val="18"/>
                <w:szCs w:val="18"/>
              </w:rPr>
              <w:t>4G（LTE-TDD）</w:t>
            </w:r>
          </w:p>
        </w:tc>
        <w:tc>
          <w:tcPr>
            <w:tcW w:w="2607" w:type="dxa"/>
            <w:gridSpan w:val="2"/>
            <w:vAlign w:val="center"/>
          </w:tcPr>
          <w:p w14:paraId="4453E0DB">
            <w:pPr>
              <w:jc w:val="center"/>
              <w:rPr>
                <w:rFonts w:asciiTheme="minorEastAsia" w:hAnsiTheme="minorEastAsia" w:eastAsiaTheme="minorEastAsia"/>
                <w:sz w:val="18"/>
                <w:szCs w:val="18"/>
              </w:rPr>
            </w:pPr>
            <w:r>
              <w:rPr>
                <w:rFonts w:asciiTheme="minorEastAsia" w:hAnsiTheme="minorEastAsia" w:eastAsiaTheme="minorEastAsia"/>
                <w:sz w:val="18"/>
                <w:szCs w:val="18"/>
              </w:rPr>
              <w:t>4G（LTE-FDD）</w:t>
            </w:r>
          </w:p>
        </w:tc>
        <w:tc>
          <w:tcPr>
            <w:tcW w:w="2186" w:type="dxa"/>
            <w:gridSpan w:val="2"/>
            <w:vAlign w:val="center"/>
          </w:tcPr>
          <w:p w14:paraId="60E61822">
            <w:pPr>
              <w:jc w:val="center"/>
              <w:rPr>
                <w:rFonts w:asciiTheme="minorEastAsia" w:hAnsiTheme="minorEastAsia" w:eastAsiaTheme="minorEastAsia"/>
                <w:sz w:val="18"/>
                <w:szCs w:val="18"/>
              </w:rPr>
            </w:pPr>
            <w:r>
              <w:rPr>
                <w:rFonts w:asciiTheme="minorEastAsia" w:hAnsiTheme="minorEastAsia" w:eastAsiaTheme="minorEastAsia"/>
                <w:sz w:val="18"/>
                <w:szCs w:val="18"/>
              </w:rPr>
              <w:t>5G NR TDD</w:t>
            </w:r>
          </w:p>
        </w:tc>
        <w:tc>
          <w:tcPr>
            <w:tcW w:w="1976" w:type="dxa"/>
            <w:gridSpan w:val="2"/>
            <w:vAlign w:val="center"/>
          </w:tcPr>
          <w:p w14:paraId="7638C3BD">
            <w:pPr>
              <w:jc w:val="center"/>
              <w:rPr>
                <w:rFonts w:asciiTheme="minorEastAsia" w:hAnsiTheme="minorEastAsia" w:eastAsiaTheme="minorEastAsia"/>
                <w:sz w:val="18"/>
                <w:szCs w:val="18"/>
              </w:rPr>
            </w:pPr>
            <w:r>
              <w:rPr>
                <w:rFonts w:asciiTheme="minorEastAsia" w:hAnsiTheme="minorEastAsia" w:eastAsiaTheme="minorEastAsia"/>
                <w:sz w:val="18"/>
                <w:szCs w:val="18"/>
              </w:rPr>
              <w:t>5G NR FDD</w:t>
            </w:r>
          </w:p>
        </w:tc>
      </w:tr>
      <w:tr w14:paraId="56D99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1101" w:type="dxa"/>
            <w:vMerge w:val="restart"/>
            <w:vAlign w:val="center"/>
          </w:tcPr>
          <w:p w14:paraId="51526723">
            <w:pPr>
              <w:tabs>
                <w:tab w:val="left" w:pos="0"/>
              </w:tabs>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频率范围</w:t>
            </w:r>
          </w:p>
        </w:tc>
        <w:tc>
          <w:tcPr>
            <w:tcW w:w="1842" w:type="dxa"/>
            <w:vMerge w:val="restart"/>
            <w:vAlign w:val="center"/>
          </w:tcPr>
          <w:p w14:paraId="614B8BA5">
            <w:pPr>
              <w:jc w:val="center"/>
              <w:rPr>
                <w:rFonts w:asciiTheme="minorEastAsia" w:hAnsiTheme="minorEastAsia" w:eastAsiaTheme="minorEastAsia"/>
                <w:sz w:val="18"/>
                <w:szCs w:val="18"/>
              </w:rPr>
            </w:pPr>
            <w:r>
              <w:rPr>
                <w:rFonts w:asciiTheme="minorEastAsia" w:hAnsiTheme="minorEastAsia" w:eastAsiaTheme="minorEastAsia"/>
                <w:sz w:val="18"/>
                <w:szCs w:val="18"/>
              </w:rPr>
              <w:t>B39:1880 MHz～1920MHz</w:t>
            </w:r>
          </w:p>
          <w:p w14:paraId="2A39224B">
            <w:pPr>
              <w:jc w:val="center"/>
              <w:rPr>
                <w:rFonts w:asciiTheme="minorEastAsia" w:hAnsiTheme="minorEastAsia" w:eastAsiaTheme="minorEastAsia"/>
                <w:sz w:val="18"/>
                <w:szCs w:val="18"/>
              </w:rPr>
            </w:pPr>
            <w:r>
              <w:rPr>
                <w:rFonts w:asciiTheme="minorEastAsia" w:hAnsiTheme="minorEastAsia" w:eastAsiaTheme="minorEastAsia"/>
                <w:sz w:val="18"/>
                <w:szCs w:val="18"/>
              </w:rPr>
              <w:t>B34:2010 MHz～2025MHz</w:t>
            </w:r>
          </w:p>
          <w:p w14:paraId="6CE5598E">
            <w:pPr>
              <w:jc w:val="center"/>
              <w:rPr>
                <w:rFonts w:asciiTheme="minorEastAsia" w:hAnsiTheme="minorEastAsia" w:eastAsiaTheme="minorEastAsia"/>
                <w:sz w:val="18"/>
                <w:szCs w:val="18"/>
              </w:rPr>
            </w:pPr>
            <w:r>
              <w:rPr>
                <w:rFonts w:asciiTheme="minorEastAsia" w:hAnsiTheme="minorEastAsia" w:eastAsiaTheme="minorEastAsia"/>
                <w:sz w:val="18"/>
                <w:szCs w:val="18"/>
              </w:rPr>
              <w:t>B40:2300 MHz～2400MHz</w:t>
            </w:r>
          </w:p>
          <w:p w14:paraId="35A99346">
            <w:pPr>
              <w:jc w:val="center"/>
              <w:rPr>
                <w:rFonts w:asciiTheme="minorEastAsia" w:hAnsiTheme="minorEastAsia" w:eastAsiaTheme="minorEastAsia"/>
                <w:sz w:val="18"/>
                <w:szCs w:val="18"/>
              </w:rPr>
            </w:pPr>
            <w:r>
              <w:rPr>
                <w:rFonts w:asciiTheme="minorEastAsia" w:hAnsiTheme="minorEastAsia" w:eastAsiaTheme="minorEastAsia"/>
                <w:sz w:val="18"/>
                <w:szCs w:val="18"/>
              </w:rPr>
              <w:t>B41:2555 MHz～2655MHz</w:t>
            </w:r>
          </w:p>
          <w:p w14:paraId="4583B37B">
            <w:pPr>
              <w:jc w:val="center"/>
              <w:rPr>
                <w:rFonts w:asciiTheme="minorEastAsia" w:hAnsiTheme="minorEastAsia" w:eastAsiaTheme="minorEastAsia"/>
                <w:sz w:val="18"/>
                <w:szCs w:val="18"/>
              </w:rPr>
            </w:pPr>
            <w:r>
              <w:rPr>
                <w:rFonts w:asciiTheme="minorEastAsia" w:hAnsiTheme="minorEastAsia" w:eastAsiaTheme="minorEastAsia"/>
                <w:sz w:val="18"/>
                <w:szCs w:val="18"/>
              </w:rPr>
              <w:t>B38:2570 MHz～2620MHz</w:t>
            </w:r>
          </w:p>
        </w:tc>
        <w:tc>
          <w:tcPr>
            <w:tcW w:w="425" w:type="dxa"/>
            <w:vAlign w:val="center"/>
          </w:tcPr>
          <w:p w14:paraId="6889415C">
            <w:pPr>
              <w:jc w:val="center"/>
              <w:rPr>
                <w:rFonts w:asciiTheme="minorEastAsia" w:hAnsiTheme="minorEastAsia" w:eastAsiaTheme="minorEastAsia"/>
                <w:sz w:val="18"/>
                <w:szCs w:val="18"/>
              </w:rPr>
            </w:pPr>
            <w:r>
              <w:rPr>
                <w:rFonts w:asciiTheme="minorEastAsia" w:hAnsiTheme="minorEastAsia" w:eastAsiaTheme="minorEastAsia"/>
                <w:sz w:val="18"/>
                <w:szCs w:val="18"/>
              </w:rPr>
              <w:t>TX</w:t>
            </w:r>
          </w:p>
        </w:tc>
        <w:tc>
          <w:tcPr>
            <w:tcW w:w="2182" w:type="dxa"/>
            <w:vAlign w:val="center"/>
          </w:tcPr>
          <w:p w14:paraId="749D51CB">
            <w:pPr>
              <w:rPr>
                <w:rFonts w:asciiTheme="minorEastAsia" w:hAnsiTheme="minorEastAsia" w:eastAsiaTheme="minorEastAsia"/>
                <w:sz w:val="18"/>
                <w:szCs w:val="18"/>
              </w:rPr>
            </w:pPr>
            <w:r>
              <w:rPr>
                <w:rFonts w:asciiTheme="minorEastAsia" w:hAnsiTheme="minorEastAsia" w:eastAsiaTheme="minorEastAsia"/>
                <w:sz w:val="18"/>
                <w:szCs w:val="18"/>
              </w:rPr>
              <w:t>B1:1920 MHz～1980MHz</w:t>
            </w:r>
          </w:p>
          <w:p w14:paraId="5257BDC0">
            <w:pPr>
              <w:rPr>
                <w:rFonts w:asciiTheme="minorEastAsia" w:hAnsiTheme="minorEastAsia" w:eastAsiaTheme="minorEastAsia"/>
                <w:sz w:val="18"/>
                <w:szCs w:val="18"/>
              </w:rPr>
            </w:pPr>
            <w:r>
              <w:rPr>
                <w:rFonts w:asciiTheme="minorEastAsia" w:hAnsiTheme="minorEastAsia" w:eastAsiaTheme="minorEastAsia"/>
                <w:sz w:val="18"/>
                <w:szCs w:val="18"/>
              </w:rPr>
              <w:t>B3:1710 MHz～1785MHz</w:t>
            </w:r>
          </w:p>
          <w:p w14:paraId="0B1742E6">
            <w:pPr>
              <w:rPr>
                <w:rFonts w:asciiTheme="minorEastAsia" w:hAnsiTheme="minorEastAsia" w:eastAsiaTheme="minorEastAsia"/>
                <w:sz w:val="18"/>
                <w:szCs w:val="18"/>
              </w:rPr>
            </w:pPr>
            <w:r>
              <w:rPr>
                <w:rFonts w:asciiTheme="minorEastAsia" w:hAnsiTheme="minorEastAsia" w:eastAsiaTheme="minorEastAsia"/>
                <w:sz w:val="18"/>
                <w:szCs w:val="18"/>
              </w:rPr>
              <w:t>B5:824 MHz～849MHz</w:t>
            </w:r>
          </w:p>
          <w:p w14:paraId="166E245C">
            <w:pPr>
              <w:rPr>
                <w:rFonts w:asciiTheme="minorEastAsia" w:hAnsiTheme="minorEastAsia" w:eastAsiaTheme="minorEastAsia"/>
                <w:sz w:val="18"/>
                <w:szCs w:val="18"/>
              </w:rPr>
            </w:pPr>
            <w:r>
              <w:rPr>
                <w:rFonts w:asciiTheme="minorEastAsia" w:hAnsiTheme="minorEastAsia" w:eastAsiaTheme="minorEastAsia"/>
                <w:sz w:val="18"/>
                <w:szCs w:val="18"/>
              </w:rPr>
              <w:t>B8:880 MHz～915MHz</w:t>
            </w:r>
          </w:p>
        </w:tc>
        <w:tc>
          <w:tcPr>
            <w:tcW w:w="412" w:type="dxa"/>
            <w:vAlign w:val="center"/>
          </w:tcPr>
          <w:p w14:paraId="1A7596BF">
            <w:pPr>
              <w:rPr>
                <w:rFonts w:asciiTheme="minorEastAsia" w:hAnsiTheme="minorEastAsia" w:eastAsiaTheme="minorEastAsia"/>
                <w:sz w:val="18"/>
                <w:szCs w:val="18"/>
              </w:rPr>
            </w:pPr>
            <w:r>
              <w:rPr>
                <w:rFonts w:asciiTheme="minorEastAsia" w:hAnsiTheme="minorEastAsia" w:eastAsiaTheme="minorEastAsia"/>
                <w:sz w:val="18"/>
                <w:szCs w:val="18"/>
              </w:rPr>
              <w:t>TX</w:t>
            </w:r>
          </w:p>
        </w:tc>
        <w:tc>
          <w:tcPr>
            <w:tcW w:w="1774" w:type="dxa"/>
            <w:vAlign w:val="center"/>
          </w:tcPr>
          <w:p w14:paraId="2C24CF24">
            <w:pPr>
              <w:rPr>
                <w:rFonts w:asciiTheme="minorEastAsia" w:hAnsiTheme="minorEastAsia" w:eastAsiaTheme="minorEastAsia"/>
                <w:sz w:val="18"/>
                <w:szCs w:val="18"/>
              </w:rPr>
            </w:pPr>
            <w:r>
              <w:rPr>
                <w:rFonts w:asciiTheme="minorEastAsia" w:hAnsiTheme="minorEastAsia" w:eastAsiaTheme="minorEastAsia"/>
                <w:sz w:val="18"/>
                <w:szCs w:val="18"/>
              </w:rPr>
              <w:t>N41:2496 MHz～2690 MHz</w:t>
            </w:r>
          </w:p>
          <w:p w14:paraId="1B2B62EF">
            <w:pPr>
              <w:rPr>
                <w:rFonts w:asciiTheme="minorEastAsia" w:hAnsiTheme="minorEastAsia" w:eastAsiaTheme="minorEastAsia"/>
                <w:sz w:val="18"/>
                <w:szCs w:val="18"/>
              </w:rPr>
            </w:pPr>
            <w:r>
              <w:rPr>
                <w:rFonts w:asciiTheme="minorEastAsia" w:hAnsiTheme="minorEastAsia" w:eastAsiaTheme="minorEastAsia"/>
                <w:sz w:val="18"/>
                <w:szCs w:val="18"/>
              </w:rPr>
              <w:t>N78:3300 MHz～3800 MHz</w:t>
            </w:r>
          </w:p>
          <w:p w14:paraId="6A7F2FE8">
            <w:pPr>
              <w:rPr>
                <w:rFonts w:asciiTheme="minorEastAsia" w:hAnsiTheme="minorEastAsia" w:eastAsiaTheme="minorEastAsia"/>
                <w:sz w:val="18"/>
                <w:szCs w:val="18"/>
              </w:rPr>
            </w:pPr>
            <w:r>
              <w:rPr>
                <w:rFonts w:asciiTheme="minorEastAsia" w:hAnsiTheme="minorEastAsia" w:eastAsiaTheme="minorEastAsia"/>
                <w:sz w:val="18"/>
                <w:szCs w:val="18"/>
              </w:rPr>
              <w:t>N79:4400 MHz～5000 MHz</w:t>
            </w:r>
          </w:p>
        </w:tc>
        <w:tc>
          <w:tcPr>
            <w:tcW w:w="400" w:type="dxa"/>
            <w:vAlign w:val="center"/>
          </w:tcPr>
          <w:p w14:paraId="2C5DC341">
            <w:pPr>
              <w:rPr>
                <w:rFonts w:asciiTheme="minorEastAsia" w:hAnsiTheme="minorEastAsia" w:eastAsiaTheme="minorEastAsia"/>
                <w:sz w:val="18"/>
                <w:szCs w:val="18"/>
              </w:rPr>
            </w:pPr>
            <w:r>
              <w:rPr>
                <w:rFonts w:asciiTheme="minorEastAsia" w:hAnsiTheme="minorEastAsia" w:eastAsiaTheme="minorEastAsia"/>
                <w:sz w:val="18"/>
                <w:szCs w:val="18"/>
              </w:rPr>
              <w:t>TX</w:t>
            </w:r>
          </w:p>
        </w:tc>
        <w:tc>
          <w:tcPr>
            <w:tcW w:w="1576" w:type="dxa"/>
            <w:vAlign w:val="center"/>
          </w:tcPr>
          <w:p w14:paraId="241864A4">
            <w:pPr>
              <w:rPr>
                <w:rFonts w:asciiTheme="minorEastAsia" w:hAnsiTheme="minorEastAsia" w:eastAsiaTheme="minorEastAsia"/>
                <w:sz w:val="18"/>
                <w:szCs w:val="18"/>
              </w:rPr>
            </w:pPr>
            <w:r>
              <w:rPr>
                <w:rFonts w:asciiTheme="minorEastAsia" w:hAnsiTheme="minorEastAsia" w:eastAsiaTheme="minorEastAsia"/>
                <w:sz w:val="18"/>
                <w:szCs w:val="18"/>
              </w:rPr>
              <w:t>N1:1920MHz～1980 MHz</w:t>
            </w:r>
          </w:p>
        </w:tc>
      </w:tr>
      <w:tr w14:paraId="48D67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trPr>
        <w:tc>
          <w:tcPr>
            <w:tcW w:w="1101" w:type="dxa"/>
            <w:vMerge w:val="continue"/>
            <w:vAlign w:val="center"/>
          </w:tcPr>
          <w:p w14:paraId="7512BA46">
            <w:pPr>
              <w:jc w:val="center"/>
              <w:rPr>
                <w:rFonts w:asciiTheme="minorEastAsia" w:hAnsiTheme="minorEastAsia" w:eastAsiaTheme="minorEastAsia"/>
                <w:sz w:val="18"/>
                <w:szCs w:val="18"/>
              </w:rPr>
            </w:pPr>
          </w:p>
        </w:tc>
        <w:tc>
          <w:tcPr>
            <w:tcW w:w="1842" w:type="dxa"/>
            <w:vMerge w:val="continue"/>
            <w:vAlign w:val="center"/>
          </w:tcPr>
          <w:p w14:paraId="6A80F94D">
            <w:pPr>
              <w:jc w:val="center"/>
              <w:rPr>
                <w:rFonts w:asciiTheme="minorEastAsia" w:hAnsiTheme="minorEastAsia" w:eastAsiaTheme="minorEastAsia"/>
                <w:sz w:val="18"/>
                <w:szCs w:val="18"/>
              </w:rPr>
            </w:pPr>
          </w:p>
        </w:tc>
        <w:tc>
          <w:tcPr>
            <w:tcW w:w="425" w:type="dxa"/>
            <w:vAlign w:val="center"/>
          </w:tcPr>
          <w:p w14:paraId="70E8F223">
            <w:pPr>
              <w:jc w:val="center"/>
              <w:rPr>
                <w:rFonts w:asciiTheme="minorEastAsia" w:hAnsiTheme="minorEastAsia" w:eastAsiaTheme="minorEastAsia"/>
                <w:sz w:val="18"/>
                <w:szCs w:val="18"/>
              </w:rPr>
            </w:pPr>
            <w:r>
              <w:rPr>
                <w:rFonts w:asciiTheme="minorEastAsia" w:hAnsiTheme="minorEastAsia" w:eastAsiaTheme="minorEastAsia"/>
                <w:sz w:val="18"/>
                <w:szCs w:val="18"/>
              </w:rPr>
              <w:t>RX</w:t>
            </w:r>
          </w:p>
        </w:tc>
        <w:tc>
          <w:tcPr>
            <w:tcW w:w="2182" w:type="dxa"/>
            <w:vAlign w:val="center"/>
          </w:tcPr>
          <w:p w14:paraId="339E0986">
            <w:pPr>
              <w:rPr>
                <w:rFonts w:asciiTheme="minorEastAsia" w:hAnsiTheme="minorEastAsia" w:eastAsiaTheme="minorEastAsia"/>
                <w:sz w:val="18"/>
                <w:szCs w:val="18"/>
              </w:rPr>
            </w:pPr>
            <w:r>
              <w:rPr>
                <w:rFonts w:asciiTheme="minorEastAsia" w:hAnsiTheme="minorEastAsia" w:eastAsiaTheme="minorEastAsia"/>
                <w:sz w:val="18"/>
                <w:szCs w:val="18"/>
              </w:rPr>
              <w:t>B1:2110 MHz～2170MHz</w:t>
            </w:r>
          </w:p>
          <w:p w14:paraId="50E0273B">
            <w:pPr>
              <w:rPr>
                <w:rFonts w:asciiTheme="minorEastAsia" w:hAnsiTheme="minorEastAsia" w:eastAsiaTheme="minorEastAsia"/>
                <w:sz w:val="18"/>
                <w:szCs w:val="18"/>
              </w:rPr>
            </w:pPr>
            <w:r>
              <w:rPr>
                <w:rFonts w:asciiTheme="minorEastAsia" w:hAnsiTheme="minorEastAsia" w:eastAsiaTheme="minorEastAsia"/>
                <w:sz w:val="18"/>
                <w:szCs w:val="18"/>
              </w:rPr>
              <w:t>B3:1805 MHz～1880 MHz</w:t>
            </w:r>
          </w:p>
          <w:p w14:paraId="424DDC33">
            <w:pPr>
              <w:rPr>
                <w:rFonts w:asciiTheme="minorEastAsia" w:hAnsiTheme="minorEastAsia" w:eastAsiaTheme="minorEastAsia"/>
                <w:sz w:val="18"/>
                <w:szCs w:val="18"/>
              </w:rPr>
            </w:pPr>
            <w:r>
              <w:rPr>
                <w:rFonts w:asciiTheme="minorEastAsia" w:hAnsiTheme="minorEastAsia" w:eastAsiaTheme="minorEastAsia"/>
                <w:sz w:val="18"/>
                <w:szCs w:val="18"/>
              </w:rPr>
              <w:t>B5: 869 MHz～894 MHz</w:t>
            </w:r>
          </w:p>
          <w:p w14:paraId="40055B3B">
            <w:pPr>
              <w:rPr>
                <w:rFonts w:asciiTheme="minorEastAsia" w:hAnsiTheme="minorEastAsia" w:eastAsiaTheme="minorEastAsia"/>
                <w:sz w:val="18"/>
                <w:szCs w:val="18"/>
              </w:rPr>
            </w:pPr>
            <w:r>
              <w:rPr>
                <w:rFonts w:asciiTheme="minorEastAsia" w:hAnsiTheme="minorEastAsia" w:eastAsiaTheme="minorEastAsia"/>
                <w:sz w:val="18"/>
                <w:szCs w:val="18"/>
              </w:rPr>
              <w:t>B8: 925 MHz～960 MHz</w:t>
            </w:r>
          </w:p>
        </w:tc>
        <w:tc>
          <w:tcPr>
            <w:tcW w:w="412" w:type="dxa"/>
            <w:vAlign w:val="center"/>
          </w:tcPr>
          <w:p w14:paraId="2889C3F2">
            <w:pPr>
              <w:rPr>
                <w:rFonts w:asciiTheme="minorEastAsia" w:hAnsiTheme="minorEastAsia" w:eastAsiaTheme="minorEastAsia"/>
                <w:sz w:val="18"/>
                <w:szCs w:val="18"/>
              </w:rPr>
            </w:pPr>
            <w:r>
              <w:rPr>
                <w:rFonts w:asciiTheme="minorEastAsia" w:hAnsiTheme="minorEastAsia" w:eastAsiaTheme="minorEastAsia"/>
                <w:sz w:val="18"/>
                <w:szCs w:val="18"/>
              </w:rPr>
              <w:t>RX</w:t>
            </w:r>
          </w:p>
        </w:tc>
        <w:tc>
          <w:tcPr>
            <w:tcW w:w="1774" w:type="dxa"/>
            <w:vAlign w:val="center"/>
          </w:tcPr>
          <w:p w14:paraId="482EE8C4">
            <w:pPr>
              <w:rPr>
                <w:rFonts w:asciiTheme="minorEastAsia" w:hAnsiTheme="minorEastAsia" w:eastAsiaTheme="minorEastAsia"/>
                <w:sz w:val="18"/>
                <w:szCs w:val="18"/>
              </w:rPr>
            </w:pPr>
            <w:r>
              <w:rPr>
                <w:rFonts w:asciiTheme="minorEastAsia" w:hAnsiTheme="minorEastAsia" w:eastAsiaTheme="minorEastAsia"/>
                <w:sz w:val="18"/>
                <w:szCs w:val="18"/>
              </w:rPr>
              <w:t>N41:2496 MHz～2690 MHz</w:t>
            </w:r>
          </w:p>
          <w:p w14:paraId="4AA4767A">
            <w:pPr>
              <w:rPr>
                <w:rFonts w:asciiTheme="minorEastAsia" w:hAnsiTheme="minorEastAsia" w:eastAsiaTheme="minorEastAsia"/>
                <w:sz w:val="18"/>
                <w:szCs w:val="18"/>
              </w:rPr>
            </w:pPr>
            <w:r>
              <w:rPr>
                <w:rFonts w:asciiTheme="minorEastAsia" w:hAnsiTheme="minorEastAsia" w:eastAsiaTheme="minorEastAsia"/>
                <w:sz w:val="18"/>
                <w:szCs w:val="18"/>
              </w:rPr>
              <w:t>N78:3300 MHz～3800 MHz</w:t>
            </w:r>
          </w:p>
          <w:p w14:paraId="226206E8">
            <w:pPr>
              <w:rPr>
                <w:rFonts w:asciiTheme="minorEastAsia" w:hAnsiTheme="minorEastAsia" w:eastAsiaTheme="minorEastAsia"/>
                <w:sz w:val="18"/>
                <w:szCs w:val="18"/>
              </w:rPr>
            </w:pPr>
            <w:r>
              <w:rPr>
                <w:rFonts w:asciiTheme="minorEastAsia" w:hAnsiTheme="minorEastAsia" w:eastAsiaTheme="minorEastAsia"/>
                <w:sz w:val="18"/>
                <w:szCs w:val="18"/>
              </w:rPr>
              <w:t>N79:4400 MHz～5000 MHz</w:t>
            </w:r>
          </w:p>
        </w:tc>
        <w:tc>
          <w:tcPr>
            <w:tcW w:w="400" w:type="dxa"/>
            <w:vAlign w:val="center"/>
          </w:tcPr>
          <w:p w14:paraId="25AFAAEE">
            <w:pPr>
              <w:rPr>
                <w:rFonts w:asciiTheme="minorEastAsia" w:hAnsiTheme="minorEastAsia" w:eastAsiaTheme="minorEastAsia"/>
                <w:sz w:val="18"/>
                <w:szCs w:val="18"/>
              </w:rPr>
            </w:pPr>
            <w:r>
              <w:rPr>
                <w:rFonts w:asciiTheme="minorEastAsia" w:hAnsiTheme="minorEastAsia" w:eastAsiaTheme="minorEastAsia"/>
                <w:sz w:val="18"/>
                <w:szCs w:val="18"/>
              </w:rPr>
              <w:t>RX</w:t>
            </w:r>
          </w:p>
        </w:tc>
        <w:tc>
          <w:tcPr>
            <w:tcW w:w="1576" w:type="dxa"/>
            <w:vAlign w:val="center"/>
          </w:tcPr>
          <w:p w14:paraId="5F3D2C39">
            <w:pPr>
              <w:rPr>
                <w:rFonts w:asciiTheme="minorEastAsia" w:hAnsiTheme="minorEastAsia" w:eastAsiaTheme="minorEastAsia"/>
                <w:sz w:val="18"/>
                <w:szCs w:val="18"/>
              </w:rPr>
            </w:pPr>
            <w:r>
              <w:rPr>
                <w:rFonts w:asciiTheme="minorEastAsia" w:hAnsiTheme="minorEastAsia" w:eastAsiaTheme="minorEastAsia"/>
                <w:sz w:val="18"/>
                <w:szCs w:val="18"/>
              </w:rPr>
              <w:t>N1: 2110 MHz～2170 MHz</w:t>
            </w:r>
          </w:p>
        </w:tc>
      </w:tr>
      <w:tr w14:paraId="2452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101" w:type="dxa"/>
            <w:vAlign w:val="center"/>
          </w:tcPr>
          <w:p w14:paraId="6692A661">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输出功率误差</w:t>
            </w:r>
          </w:p>
        </w:tc>
        <w:tc>
          <w:tcPr>
            <w:tcW w:w="1842" w:type="dxa"/>
            <w:vAlign w:val="center"/>
          </w:tcPr>
          <w:p w14:paraId="2305BC8B">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w:t>
            </w:r>
            <w:r>
              <w:rPr>
                <w:rFonts w:asciiTheme="minorEastAsia" w:hAnsiTheme="minorEastAsia" w:eastAsiaTheme="minorEastAsia"/>
                <w:sz w:val="18"/>
                <w:szCs w:val="18"/>
              </w:rPr>
              <w:t>2.7dB</w:t>
            </w:r>
          </w:p>
        </w:tc>
        <w:tc>
          <w:tcPr>
            <w:tcW w:w="2607" w:type="dxa"/>
            <w:gridSpan w:val="2"/>
            <w:vAlign w:val="center"/>
          </w:tcPr>
          <w:p w14:paraId="2E1EEA27">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w:t>
            </w:r>
            <w:r>
              <w:rPr>
                <w:rFonts w:asciiTheme="minorEastAsia" w:hAnsiTheme="minorEastAsia" w:eastAsiaTheme="minorEastAsia"/>
                <w:sz w:val="18"/>
                <w:szCs w:val="18"/>
              </w:rPr>
              <w:t>2.7dB</w:t>
            </w:r>
          </w:p>
        </w:tc>
        <w:tc>
          <w:tcPr>
            <w:tcW w:w="2186" w:type="dxa"/>
            <w:gridSpan w:val="2"/>
            <w:vAlign w:val="center"/>
          </w:tcPr>
          <w:p w14:paraId="7309A2D8">
            <w:pPr>
              <w:jc w:val="center"/>
              <w:rPr>
                <w:rFonts w:asciiTheme="minorEastAsia" w:hAnsiTheme="minorEastAsia" w:eastAsiaTheme="minorEastAsia"/>
                <w:sz w:val="18"/>
                <w:szCs w:val="18"/>
              </w:rPr>
            </w:pPr>
            <w:r>
              <w:rPr>
                <w:rFonts w:asciiTheme="minorEastAsia" w:hAnsiTheme="minorEastAsia" w:eastAsiaTheme="minorEastAsia"/>
                <w:sz w:val="18"/>
                <w:szCs w:val="18"/>
              </w:rPr>
              <w:t>N41：±2dB</w:t>
            </w:r>
          </w:p>
          <w:p w14:paraId="53B94003">
            <w:pPr>
              <w:jc w:val="center"/>
              <w:rPr>
                <w:rFonts w:asciiTheme="minorEastAsia" w:hAnsiTheme="minorEastAsia" w:eastAsiaTheme="minorEastAsia"/>
                <w:sz w:val="18"/>
                <w:szCs w:val="18"/>
              </w:rPr>
            </w:pPr>
            <w:r>
              <w:rPr>
                <w:rFonts w:asciiTheme="minorEastAsia" w:hAnsiTheme="minorEastAsia" w:eastAsiaTheme="minorEastAsia"/>
                <w:sz w:val="18"/>
                <w:szCs w:val="18"/>
              </w:rPr>
              <w:t>N78：+2/-3dB</w:t>
            </w:r>
          </w:p>
          <w:p w14:paraId="04D9A390">
            <w:pPr>
              <w:jc w:val="center"/>
              <w:rPr>
                <w:rFonts w:asciiTheme="minorEastAsia" w:hAnsiTheme="minorEastAsia" w:eastAsiaTheme="minorEastAsia"/>
                <w:sz w:val="18"/>
                <w:szCs w:val="18"/>
              </w:rPr>
            </w:pPr>
            <w:r>
              <w:rPr>
                <w:rFonts w:asciiTheme="minorEastAsia" w:hAnsiTheme="minorEastAsia" w:eastAsiaTheme="minorEastAsia"/>
                <w:sz w:val="18"/>
                <w:szCs w:val="18"/>
              </w:rPr>
              <w:t>N79：+2/-3dB</w:t>
            </w:r>
          </w:p>
        </w:tc>
        <w:tc>
          <w:tcPr>
            <w:tcW w:w="1976" w:type="dxa"/>
            <w:gridSpan w:val="2"/>
            <w:vAlign w:val="center"/>
          </w:tcPr>
          <w:p w14:paraId="2C647114">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w:t>
            </w:r>
            <w:r>
              <w:rPr>
                <w:rFonts w:asciiTheme="minorEastAsia" w:hAnsiTheme="minorEastAsia" w:eastAsiaTheme="minorEastAsia"/>
                <w:sz w:val="18"/>
                <w:szCs w:val="18"/>
              </w:rPr>
              <w:t>2dB</w:t>
            </w:r>
          </w:p>
        </w:tc>
      </w:tr>
      <w:tr w14:paraId="181A4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101" w:type="dxa"/>
            <w:vAlign w:val="center"/>
          </w:tcPr>
          <w:p w14:paraId="18B7897D">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载波频率误差</w:t>
            </w:r>
          </w:p>
        </w:tc>
        <w:tc>
          <w:tcPr>
            <w:tcW w:w="1842" w:type="dxa"/>
            <w:vAlign w:val="center"/>
          </w:tcPr>
          <w:p w14:paraId="54223070">
            <w:pPr>
              <w:jc w:val="center"/>
              <w:rPr>
                <w:rFonts w:asciiTheme="minorEastAsia" w:hAnsiTheme="minorEastAsia" w:eastAsiaTheme="minorEastAsia"/>
                <w:sz w:val="18"/>
                <w:szCs w:val="18"/>
              </w:rPr>
            </w:pPr>
            <w:r>
              <w:rPr>
                <w:rFonts w:asciiTheme="minorEastAsia" w:hAnsiTheme="minorEastAsia" w:eastAsiaTheme="minorEastAsia"/>
                <w:sz w:val="18"/>
                <w:szCs w:val="18"/>
              </w:rPr>
              <w:t xml:space="preserve">|Δf| </w:t>
            </w:r>
            <w:r>
              <w:rPr>
                <w:rFonts w:hint="eastAsia" w:asciiTheme="minorEastAsia" w:hAnsiTheme="minorEastAsia" w:eastAsiaTheme="minorEastAsia"/>
                <w:sz w:val="18"/>
                <w:szCs w:val="18"/>
              </w:rPr>
              <w:t>≤（</w:t>
            </w:r>
            <w:r>
              <w:rPr>
                <w:rFonts w:asciiTheme="minorEastAsia" w:hAnsiTheme="minorEastAsia" w:eastAsiaTheme="minorEastAsia"/>
                <w:sz w:val="18"/>
                <w:szCs w:val="18"/>
              </w:rPr>
              <w:t>0.1 PPM + 15 Hz）</w:t>
            </w:r>
          </w:p>
        </w:tc>
        <w:tc>
          <w:tcPr>
            <w:tcW w:w="2607" w:type="dxa"/>
            <w:gridSpan w:val="2"/>
            <w:vAlign w:val="center"/>
          </w:tcPr>
          <w:p w14:paraId="3EA92316">
            <w:pPr>
              <w:jc w:val="center"/>
              <w:rPr>
                <w:rFonts w:asciiTheme="minorEastAsia" w:hAnsiTheme="minorEastAsia" w:eastAsiaTheme="minorEastAsia"/>
                <w:sz w:val="18"/>
                <w:szCs w:val="18"/>
              </w:rPr>
            </w:pPr>
            <w:r>
              <w:rPr>
                <w:rFonts w:asciiTheme="minorEastAsia" w:hAnsiTheme="minorEastAsia" w:eastAsiaTheme="minorEastAsia"/>
                <w:sz w:val="18"/>
                <w:szCs w:val="18"/>
              </w:rPr>
              <w:t xml:space="preserve">|Δf| </w:t>
            </w:r>
            <w:r>
              <w:rPr>
                <w:rFonts w:hint="eastAsia" w:asciiTheme="minorEastAsia" w:hAnsiTheme="minorEastAsia" w:eastAsiaTheme="minorEastAsia"/>
                <w:sz w:val="18"/>
                <w:szCs w:val="18"/>
              </w:rPr>
              <w:t>≤（</w:t>
            </w:r>
            <w:r>
              <w:rPr>
                <w:rFonts w:asciiTheme="minorEastAsia" w:hAnsiTheme="minorEastAsia" w:eastAsiaTheme="minorEastAsia"/>
                <w:sz w:val="18"/>
                <w:szCs w:val="18"/>
              </w:rPr>
              <w:t>0.1 PPM + 15 Hz）</w:t>
            </w:r>
          </w:p>
        </w:tc>
        <w:tc>
          <w:tcPr>
            <w:tcW w:w="2186" w:type="dxa"/>
            <w:gridSpan w:val="2"/>
            <w:vAlign w:val="center"/>
          </w:tcPr>
          <w:p w14:paraId="79B3DA21">
            <w:pPr>
              <w:jc w:val="center"/>
              <w:rPr>
                <w:rFonts w:asciiTheme="minorEastAsia" w:hAnsiTheme="minorEastAsia" w:eastAsiaTheme="minorEastAsia"/>
                <w:sz w:val="18"/>
                <w:szCs w:val="18"/>
              </w:rPr>
            </w:pPr>
            <w:r>
              <w:rPr>
                <w:rFonts w:asciiTheme="minorEastAsia" w:hAnsiTheme="minorEastAsia" w:eastAsiaTheme="minorEastAsia"/>
                <w:sz w:val="18"/>
                <w:szCs w:val="18"/>
              </w:rPr>
              <w:t xml:space="preserve">|Δf| </w:t>
            </w:r>
            <w:r>
              <w:rPr>
                <w:rFonts w:hint="eastAsia" w:asciiTheme="minorEastAsia" w:hAnsiTheme="minorEastAsia" w:eastAsiaTheme="minorEastAsia"/>
                <w:sz w:val="18"/>
                <w:szCs w:val="18"/>
              </w:rPr>
              <w:t>≤（</w:t>
            </w:r>
            <w:r>
              <w:rPr>
                <w:rFonts w:asciiTheme="minorEastAsia" w:hAnsiTheme="minorEastAsia" w:eastAsiaTheme="minorEastAsia"/>
                <w:sz w:val="18"/>
                <w:szCs w:val="18"/>
              </w:rPr>
              <w:t>0.1 PPM + 15 Hz）</w:t>
            </w:r>
          </w:p>
        </w:tc>
        <w:tc>
          <w:tcPr>
            <w:tcW w:w="1976" w:type="dxa"/>
            <w:gridSpan w:val="2"/>
            <w:vAlign w:val="center"/>
          </w:tcPr>
          <w:p w14:paraId="03C42DB6">
            <w:pPr>
              <w:jc w:val="center"/>
              <w:rPr>
                <w:rFonts w:asciiTheme="minorEastAsia" w:hAnsiTheme="minorEastAsia" w:eastAsiaTheme="minorEastAsia"/>
                <w:sz w:val="18"/>
                <w:szCs w:val="18"/>
              </w:rPr>
            </w:pPr>
            <w:r>
              <w:rPr>
                <w:rFonts w:asciiTheme="minorEastAsia" w:hAnsiTheme="minorEastAsia" w:eastAsiaTheme="minorEastAsia"/>
                <w:sz w:val="18"/>
                <w:szCs w:val="18"/>
              </w:rPr>
              <w:t xml:space="preserve">|Δf| </w:t>
            </w:r>
            <w:r>
              <w:rPr>
                <w:rFonts w:hint="eastAsia" w:asciiTheme="minorEastAsia" w:hAnsiTheme="minorEastAsia" w:eastAsiaTheme="minorEastAsia"/>
                <w:sz w:val="18"/>
                <w:szCs w:val="18"/>
              </w:rPr>
              <w:t>≤（</w:t>
            </w:r>
            <w:r>
              <w:rPr>
                <w:rFonts w:asciiTheme="minorEastAsia" w:hAnsiTheme="minorEastAsia" w:eastAsiaTheme="minorEastAsia"/>
                <w:sz w:val="18"/>
                <w:szCs w:val="18"/>
              </w:rPr>
              <w:t>0.1 PPM + 15 Hz）</w:t>
            </w:r>
          </w:p>
        </w:tc>
      </w:tr>
    </w:tbl>
    <w:p w14:paraId="44106C34">
      <w:pPr>
        <w:pStyle w:val="36"/>
        <w:numPr>
          <w:ilvl w:val="2"/>
          <w:numId w:val="14"/>
        </w:numPr>
        <w:spacing w:before="156" w:after="156"/>
        <w:ind w:left="180" w:leftChars="75"/>
      </w:pPr>
      <w:r>
        <w:rPr>
          <w:rFonts w:hint="eastAsia"/>
        </w:rPr>
        <w:t>无线信道规格和指标</w:t>
      </w:r>
    </w:p>
    <w:p w14:paraId="4513D617">
      <w:pPr>
        <w:pStyle w:val="41"/>
      </w:pPr>
      <w:r>
        <w:rPr>
          <w:rFonts w:hint="eastAsia"/>
        </w:rPr>
        <w:t>应符合</w:t>
      </w:r>
      <w:r>
        <w:rPr>
          <w:rFonts w:hAnsi="宋体" w:cs="宋体"/>
          <w:szCs w:val="21"/>
        </w:rPr>
        <w:t>YD/T 1214-2006</w:t>
      </w:r>
      <w:r>
        <w:rPr>
          <w:rFonts w:hint="eastAsia" w:hAnsi="宋体"/>
          <w:kern w:val="2"/>
        </w:rPr>
        <w:t>和</w:t>
      </w:r>
      <w:r>
        <w:rPr>
          <w:rFonts w:hAnsi="宋体" w:cs="宋体"/>
          <w:szCs w:val="21"/>
        </w:rPr>
        <w:t>YD/T 1208-2002</w:t>
      </w:r>
      <w:r>
        <w:rPr>
          <w:rFonts w:hint="eastAsia" w:hAnsi="宋体"/>
          <w:kern w:val="2"/>
        </w:rPr>
        <w:t>的</w:t>
      </w:r>
      <w:r>
        <w:rPr>
          <w:rFonts w:hint="eastAsia"/>
        </w:rPr>
        <w:t>规定，通信单元无线信道规格和指标</w:t>
      </w:r>
      <w:r>
        <w:t>要求应符合表6。</w:t>
      </w:r>
    </w:p>
    <w:p w14:paraId="250909F9">
      <w:pPr>
        <w:pStyle w:val="54"/>
        <w:tabs>
          <w:tab w:val="left" w:pos="360"/>
        </w:tabs>
        <w:spacing w:before="156" w:after="156"/>
        <w:ind w:left="426"/>
      </w:pPr>
      <w:r>
        <w:rPr>
          <w:rFonts w:hint="eastAsia"/>
        </w:rPr>
        <w:t>无线信道规格和指标</w:t>
      </w:r>
    </w:p>
    <w:tbl>
      <w:tblPr>
        <w:tblStyle w:val="25"/>
        <w:tblW w:w="49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2164"/>
        <w:gridCol w:w="281"/>
        <w:gridCol w:w="1987"/>
        <w:gridCol w:w="281"/>
        <w:gridCol w:w="2127"/>
        <w:gridCol w:w="283"/>
        <w:gridCol w:w="1560"/>
      </w:tblGrid>
      <w:tr w14:paraId="54B96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41" w:type="pct"/>
          </w:tcPr>
          <w:p w14:paraId="66D05239">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指标</w:t>
            </w:r>
          </w:p>
        </w:tc>
        <w:tc>
          <w:tcPr>
            <w:tcW w:w="1161" w:type="pct"/>
            <w:vAlign w:val="center"/>
          </w:tcPr>
          <w:p w14:paraId="60EF3A75">
            <w:pPr>
              <w:jc w:val="center"/>
              <w:rPr>
                <w:rFonts w:asciiTheme="minorEastAsia" w:hAnsiTheme="minorEastAsia" w:eastAsiaTheme="minorEastAsia"/>
                <w:sz w:val="18"/>
                <w:szCs w:val="18"/>
              </w:rPr>
            </w:pPr>
            <w:r>
              <w:rPr>
                <w:rFonts w:asciiTheme="minorEastAsia" w:hAnsiTheme="minorEastAsia" w:eastAsiaTheme="minorEastAsia"/>
                <w:sz w:val="18"/>
                <w:szCs w:val="18"/>
              </w:rPr>
              <w:t>4G（LTE-TDD）</w:t>
            </w:r>
          </w:p>
        </w:tc>
        <w:tc>
          <w:tcPr>
            <w:tcW w:w="1217" w:type="pct"/>
            <w:gridSpan w:val="2"/>
            <w:vAlign w:val="center"/>
          </w:tcPr>
          <w:p w14:paraId="54A28DF8">
            <w:pPr>
              <w:jc w:val="center"/>
              <w:rPr>
                <w:rFonts w:asciiTheme="minorEastAsia" w:hAnsiTheme="minorEastAsia" w:eastAsiaTheme="minorEastAsia"/>
                <w:sz w:val="18"/>
                <w:szCs w:val="18"/>
              </w:rPr>
            </w:pPr>
            <w:r>
              <w:rPr>
                <w:rFonts w:asciiTheme="minorEastAsia" w:hAnsiTheme="minorEastAsia" w:eastAsiaTheme="minorEastAsia"/>
                <w:sz w:val="18"/>
                <w:szCs w:val="18"/>
              </w:rPr>
              <w:t>4G（LTE-FDD）</w:t>
            </w:r>
          </w:p>
        </w:tc>
        <w:tc>
          <w:tcPr>
            <w:tcW w:w="1292" w:type="pct"/>
            <w:gridSpan w:val="2"/>
            <w:vAlign w:val="center"/>
          </w:tcPr>
          <w:p w14:paraId="7B2D3968">
            <w:pPr>
              <w:jc w:val="center"/>
              <w:rPr>
                <w:rFonts w:asciiTheme="minorEastAsia" w:hAnsiTheme="minorEastAsia" w:eastAsiaTheme="minorEastAsia"/>
                <w:sz w:val="18"/>
                <w:szCs w:val="18"/>
              </w:rPr>
            </w:pPr>
            <w:r>
              <w:rPr>
                <w:rFonts w:asciiTheme="minorEastAsia" w:hAnsiTheme="minorEastAsia" w:eastAsiaTheme="minorEastAsia"/>
                <w:sz w:val="18"/>
                <w:szCs w:val="18"/>
              </w:rPr>
              <w:t>5G NR TDD</w:t>
            </w:r>
          </w:p>
        </w:tc>
        <w:tc>
          <w:tcPr>
            <w:tcW w:w="989" w:type="pct"/>
            <w:gridSpan w:val="2"/>
            <w:vAlign w:val="center"/>
          </w:tcPr>
          <w:p w14:paraId="11005494">
            <w:pPr>
              <w:jc w:val="center"/>
              <w:rPr>
                <w:rFonts w:asciiTheme="minorEastAsia" w:hAnsiTheme="minorEastAsia" w:eastAsiaTheme="minorEastAsia"/>
                <w:sz w:val="18"/>
                <w:szCs w:val="18"/>
              </w:rPr>
            </w:pPr>
            <w:r>
              <w:rPr>
                <w:rFonts w:asciiTheme="minorEastAsia" w:hAnsiTheme="minorEastAsia" w:eastAsiaTheme="minorEastAsia"/>
                <w:sz w:val="18"/>
                <w:szCs w:val="18"/>
              </w:rPr>
              <w:t>5G NR FDD</w:t>
            </w:r>
          </w:p>
        </w:tc>
      </w:tr>
      <w:tr w14:paraId="058C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341" w:type="pct"/>
            <w:vMerge w:val="restart"/>
            <w:vAlign w:val="center"/>
          </w:tcPr>
          <w:p w14:paraId="67A74A9B">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频率范围</w:t>
            </w:r>
          </w:p>
        </w:tc>
        <w:tc>
          <w:tcPr>
            <w:tcW w:w="1161" w:type="pct"/>
            <w:vMerge w:val="restart"/>
            <w:vAlign w:val="center"/>
          </w:tcPr>
          <w:p w14:paraId="17E6165F">
            <w:pPr>
              <w:jc w:val="center"/>
              <w:rPr>
                <w:rFonts w:asciiTheme="minorEastAsia" w:hAnsiTheme="minorEastAsia" w:eastAsiaTheme="minorEastAsia"/>
                <w:sz w:val="18"/>
                <w:szCs w:val="18"/>
              </w:rPr>
            </w:pPr>
            <w:r>
              <w:rPr>
                <w:rFonts w:asciiTheme="minorEastAsia" w:hAnsiTheme="minorEastAsia" w:eastAsiaTheme="minorEastAsia"/>
                <w:sz w:val="18"/>
                <w:szCs w:val="18"/>
              </w:rPr>
              <w:t>B39:1880 MHz～1920MHz</w:t>
            </w:r>
          </w:p>
          <w:p w14:paraId="70F4E9DD">
            <w:pPr>
              <w:jc w:val="center"/>
              <w:rPr>
                <w:rFonts w:asciiTheme="minorEastAsia" w:hAnsiTheme="minorEastAsia" w:eastAsiaTheme="minorEastAsia"/>
                <w:sz w:val="18"/>
                <w:szCs w:val="18"/>
              </w:rPr>
            </w:pPr>
            <w:r>
              <w:rPr>
                <w:rFonts w:asciiTheme="minorEastAsia" w:hAnsiTheme="minorEastAsia" w:eastAsiaTheme="minorEastAsia"/>
                <w:sz w:val="18"/>
                <w:szCs w:val="18"/>
              </w:rPr>
              <w:t>B34:2010 MHz～2025MHz</w:t>
            </w:r>
          </w:p>
          <w:p w14:paraId="7EBCBBB1">
            <w:pPr>
              <w:jc w:val="center"/>
              <w:rPr>
                <w:rFonts w:asciiTheme="minorEastAsia" w:hAnsiTheme="minorEastAsia" w:eastAsiaTheme="minorEastAsia"/>
                <w:sz w:val="18"/>
                <w:szCs w:val="18"/>
              </w:rPr>
            </w:pPr>
            <w:r>
              <w:rPr>
                <w:rFonts w:asciiTheme="minorEastAsia" w:hAnsiTheme="minorEastAsia" w:eastAsiaTheme="minorEastAsia"/>
                <w:sz w:val="18"/>
                <w:szCs w:val="18"/>
              </w:rPr>
              <w:t>B40:2300 MHz～2400MHz</w:t>
            </w:r>
          </w:p>
          <w:p w14:paraId="2979719C">
            <w:pPr>
              <w:jc w:val="center"/>
              <w:rPr>
                <w:rFonts w:asciiTheme="minorEastAsia" w:hAnsiTheme="minorEastAsia" w:eastAsiaTheme="minorEastAsia"/>
                <w:sz w:val="18"/>
                <w:szCs w:val="18"/>
              </w:rPr>
            </w:pPr>
            <w:r>
              <w:rPr>
                <w:rFonts w:asciiTheme="minorEastAsia" w:hAnsiTheme="minorEastAsia" w:eastAsiaTheme="minorEastAsia"/>
                <w:sz w:val="18"/>
                <w:szCs w:val="18"/>
              </w:rPr>
              <w:t>B41:2555 MHz～2655MHz</w:t>
            </w:r>
          </w:p>
          <w:p w14:paraId="33082E56">
            <w:pPr>
              <w:jc w:val="center"/>
              <w:rPr>
                <w:rFonts w:asciiTheme="minorEastAsia" w:hAnsiTheme="minorEastAsia" w:eastAsiaTheme="minorEastAsia"/>
                <w:sz w:val="18"/>
                <w:szCs w:val="18"/>
              </w:rPr>
            </w:pPr>
            <w:r>
              <w:rPr>
                <w:rFonts w:asciiTheme="minorEastAsia" w:hAnsiTheme="minorEastAsia" w:eastAsiaTheme="minorEastAsia"/>
                <w:sz w:val="18"/>
                <w:szCs w:val="18"/>
              </w:rPr>
              <w:t>B38:2570 MHz～2620MHz</w:t>
            </w:r>
          </w:p>
        </w:tc>
        <w:tc>
          <w:tcPr>
            <w:tcW w:w="151" w:type="pct"/>
            <w:vAlign w:val="center"/>
          </w:tcPr>
          <w:p w14:paraId="5BE669B7">
            <w:pPr>
              <w:jc w:val="center"/>
              <w:rPr>
                <w:rFonts w:asciiTheme="minorEastAsia" w:hAnsiTheme="minorEastAsia" w:eastAsiaTheme="minorEastAsia"/>
                <w:sz w:val="18"/>
                <w:szCs w:val="18"/>
              </w:rPr>
            </w:pPr>
            <w:r>
              <w:rPr>
                <w:rFonts w:asciiTheme="minorEastAsia" w:hAnsiTheme="minorEastAsia" w:eastAsiaTheme="minorEastAsia"/>
                <w:sz w:val="18"/>
                <w:szCs w:val="18"/>
              </w:rPr>
              <w:t>TX</w:t>
            </w:r>
          </w:p>
        </w:tc>
        <w:tc>
          <w:tcPr>
            <w:tcW w:w="1066" w:type="pct"/>
            <w:vAlign w:val="center"/>
          </w:tcPr>
          <w:p w14:paraId="31726E78">
            <w:pPr>
              <w:rPr>
                <w:rFonts w:asciiTheme="minorEastAsia" w:hAnsiTheme="minorEastAsia" w:eastAsiaTheme="minorEastAsia"/>
                <w:sz w:val="18"/>
                <w:szCs w:val="18"/>
              </w:rPr>
            </w:pPr>
            <w:r>
              <w:rPr>
                <w:rFonts w:asciiTheme="minorEastAsia" w:hAnsiTheme="minorEastAsia" w:eastAsiaTheme="minorEastAsia"/>
                <w:sz w:val="18"/>
                <w:szCs w:val="18"/>
              </w:rPr>
              <w:t>B1:1920 MHz～1980MHz</w:t>
            </w:r>
          </w:p>
          <w:p w14:paraId="0E04B508">
            <w:pPr>
              <w:rPr>
                <w:rFonts w:asciiTheme="minorEastAsia" w:hAnsiTheme="minorEastAsia" w:eastAsiaTheme="minorEastAsia"/>
                <w:sz w:val="18"/>
                <w:szCs w:val="18"/>
              </w:rPr>
            </w:pPr>
            <w:r>
              <w:rPr>
                <w:rFonts w:asciiTheme="minorEastAsia" w:hAnsiTheme="minorEastAsia" w:eastAsiaTheme="minorEastAsia"/>
                <w:sz w:val="18"/>
                <w:szCs w:val="18"/>
              </w:rPr>
              <w:t>B3:1710 MHz～1785MHz</w:t>
            </w:r>
          </w:p>
          <w:p w14:paraId="65A1B9AA">
            <w:pPr>
              <w:rPr>
                <w:rFonts w:asciiTheme="minorEastAsia" w:hAnsiTheme="minorEastAsia" w:eastAsiaTheme="minorEastAsia"/>
                <w:sz w:val="18"/>
                <w:szCs w:val="18"/>
              </w:rPr>
            </w:pPr>
            <w:r>
              <w:rPr>
                <w:rFonts w:asciiTheme="minorEastAsia" w:hAnsiTheme="minorEastAsia" w:eastAsiaTheme="minorEastAsia"/>
                <w:sz w:val="18"/>
                <w:szCs w:val="18"/>
              </w:rPr>
              <w:t>B5:824 MHz～849MHz</w:t>
            </w:r>
          </w:p>
          <w:p w14:paraId="085C8CB9">
            <w:pPr>
              <w:rPr>
                <w:rFonts w:asciiTheme="minorEastAsia" w:hAnsiTheme="minorEastAsia" w:eastAsiaTheme="minorEastAsia"/>
                <w:sz w:val="18"/>
                <w:szCs w:val="18"/>
              </w:rPr>
            </w:pPr>
            <w:r>
              <w:rPr>
                <w:rFonts w:asciiTheme="minorEastAsia" w:hAnsiTheme="minorEastAsia" w:eastAsiaTheme="minorEastAsia"/>
                <w:sz w:val="18"/>
                <w:szCs w:val="18"/>
              </w:rPr>
              <w:t>B8:880 MHz～915MHz</w:t>
            </w:r>
          </w:p>
        </w:tc>
        <w:tc>
          <w:tcPr>
            <w:tcW w:w="151" w:type="pct"/>
            <w:vAlign w:val="center"/>
          </w:tcPr>
          <w:p w14:paraId="618F4024">
            <w:pPr>
              <w:rPr>
                <w:rFonts w:asciiTheme="minorEastAsia" w:hAnsiTheme="minorEastAsia" w:eastAsiaTheme="minorEastAsia"/>
                <w:sz w:val="18"/>
                <w:szCs w:val="18"/>
              </w:rPr>
            </w:pPr>
            <w:r>
              <w:rPr>
                <w:rFonts w:asciiTheme="minorEastAsia" w:hAnsiTheme="minorEastAsia" w:eastAsiaTheme="minorEastAsia"/>
                <w:sz w:val="18"/>
                <w:szCs w:val="18"/>
              </w:rPr>
              <w:t>TX</w:t>
            </w:r>
          </w:p>
        </w:tc>
        <w:tc>
          <w:tcPr>
            <w:tcW w:w="1141" w:type="pct"/>
            <w:vAlign w:val="center"/>
          </w:tcPr>
          <w:p w14:paraId="4F9C81FD">
            <w:pPr>
              <w:jc w:val="center"/>
              <w:rPr>
                <w:rFonts w:asciiTheme="minorEastAsia" w:hAnsiTheme="minorEastAsia" w:eastAsiaTheme="minorEastAsia"/>
                <w:sz w:val="18"/>
                <w:szCs w:val="18"/>
              </w:rPr>
            </w:pPr>
            <w:r>
              <w:rPr>
                <w:rFonts w:asciiTheme="minorEastAsia" w:hAnsiTheme="minorEastAsia" w:eastAsiaTheme="minorEastAsia"/>
                <w:sz w:val="18"/>
                <w:szCs w:val="18"/>
              </w:rPr>
              <w:t>N41:2496 MHz～2690 MHz</w:t>
            </w:r>
          </w:p>
          <w:p w14:paraId="4233A9BE">
            <w:pPr>
              <w:jc w:val="center"/>
              <w:rPr>
                <w:rFonts w:asciiTheme="minorEastAsia" w:hAnsiTheme="minorEastAsia" w:eastAsiaTheme="minorEastAsia"/>
                <w:sz w:val="18"/>
                <w:szCs w:val="18"/>
              </w:rPr>
            </w:pPr>
            <w:r>
              <w:rPr>
                <w:rFonts w:asciiTheme="minorEastAsia" w:hAnsiTheme="minorEastAsia" w:eastAsiaTheme="minorEastAsia"/>
                <w:sz w:val="18"/>
                <w:szCs w:val="18"/>
              </w:rPr>
              <w:t>N78:3300 MHz～3800 MHz</w:t>
            </w:r>
          </w:p>
          <w:p w14:paraId="5303A7E7">
            <w:pPr>
              <w:jc w:val="center"/>
              <w:rPr>
                <w:rFonts w:asciiTheme="minorEastAsia" w:hAnsiTheme="minorEastAsia" w:eastAsiaTheme="minorEastAsia"/>
                <w:sz w:val="18"/>
                <w:szCs w:val="18"/>
              </w:rPr>
            </w:pPr>
            <w:r>
              <w:rPr>
                <w:rFonts w:asciiTheme="minorEastAsia" w:hAnsiTheme="minorEastAsia" w:eastAsiaTheme="minorEastAsia"/>
                <w:sz w:val="18"/>
                <w:szCs w:val="18"/>
              </w:rPr>
              <w:t>N79:4400 MHz～5000 MHz</w:t>
            </w:r>
          </w:p>
        </w:tc>
        <w:tc>
          <w:tcPr>
            <w:tcW w:w="152" w:type="pct"/>
            <w:vAlign w:val="center"/>
          </w:tcPr>
          <w:p w14:paraId="4E4D2681">
            <w:pPr>
              <w:jc w:val="center"/>
              <w:rPr>
                <w:rFonts w:asciiTheme="minorEastAsia" w:hAnsiTheme="minorEastAsia" w:eastAsiaTheme="minorEastAsia"/>
                <w:sz w:val="18"/>
                <w:szCs w:val="18"/>
              </w:rPr>
            </w:pPr>
            <w:r>
              <w:rPr>
                <w:rFonts w:asciiTheme="minorEastAsia" w:hAnsiTheme="minorEastAsia" w:eastAsiaTheme="minorEastAsia"/>
                <w:sz w:val="18"/>
                <w:szCs w:val="18"/>
              </w:rPr>
              <w:t>TX</w:t>
            </w:r>
          </w:p>
        </w:tc>
        <w:tc>
          <w:tcPr>
            <w:tcW w:w="837" w:type="pct"/>
            <w:vAlign w:val="center"/>
          </w:tcPr>
          <w:p w14:paraId="00CAF7B0">
            <w:pPr>
              <w:rPr>
                <w:rFonts w:asciiTheme="minorEastAsia" w:hAnsiTheme="minorEastAsia" w:eastAsiaTheme="minorEastAsia"/>
                <w:sz w:val="18"/>
                <w:szCs w:val="18"/>
              </w:rPr>
            </w:pPr>
            <w:r>
              <w:rPr>
                <w:rFonts w:asciiTheme="minorEastAsia" w:hAnsiTheme="minorEastAsia" w:eastAsiaTheme="minorEastAsia"/>
                <w:sz w:val="18"/>
                <w:szCs w:val="18"/>
              </w:rPr>
              <w:t>N1:1920MHz～1980 MHz</w:t>
            </w:r>
          </w:p>
        </w:tc>
      </w:tr>
      <w:tr w14:paraId="3BAE6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41" w:type="pct"/>
            <w:vMerge w:val="continue"/>
            <w:vAlign w:val="center"/>
          </w:tcPr>
          <w:p w14:paraId="03A42388">
            <w:pPr>
              <w:jc w:val="center"/>
              <w:rPr>
                <w:rFonts w:asciiTheme="minorEastAsia" w:hAnsiTheme="minorEastAsia" w:eastAsiaTheme="minorEastAsia"/>
                <w:sz w:val="18"/>
                <w:szCs w:val="18"/>
              </w:rPr>
            </w:pPr>
          </w:p>
        </w:tc>
        <w:tc>
          <w:tcPr>
            <w:tcW w:w="1161" w:type="pct"/>
            <w:vMerge w:val="continue"/>
            <w:vAlign w:val="center"/>
          </w:tcPr>
          <w:p w14:paraId="4AF3D907">
            <w:pPr>
              <w:jc w:val="center"/>
              <w:rPr>
                <w:rFonts w:asciiTheme="minorEastAsia" w:hAnsiTheme="minorEastAsia" w:eastAsiaTheme="minorEastAsia"/>
                <w:sz w:val="18"/>
                <w:szCs w:val="18"/>
              </w:rPr>
            </w:pPr>
          </w:p>
        </w:tc>
        <w:tc>
          <w:tcPr>
            <w:tcW w:w="151" w:type="pct"/>
            <w:vAlign w:val="center"/>
          </w:tcPr>
          <w:p w14:paraId="07D9BA17">
            <w:pPr>
              <w:jc w:val="center"/>
              <w:rPr>
                <w:rFonts w:asciiTheme="minorEastAsia" w:hAnsiTheme="minorEastAsia" w:eastAsiaTheme="minorEastAsia"/>
                <w:sz w:val="18"/>
                <w:szCs w:val="18"/>
              </w:rPr>
            </w:pPr>
            <w:r>
              <w:rPr>
                <w:rFonts w:asciiTheme="minorEastAsia" w:hAnsiTheme="minorEastAsia" w:eastAsiaTheme="minorEastAsia"/>
                <w:sz w:val="18"/>
                <w:szCs w:val="18"/>
              </w:rPr>
              <w:t>RX</w:t>
            </w:r>
          </w:p>
        </w:tc>
        <w:tc>
          <w:tcPr>
            <w:tcW w:w="1066" w:type="pct"/>
            <w:vAlign w:val="center"/>
          </w:tcPr>
          <w:p w14:paraId="46C4AC84">
            <w:pPr>
              <w:rPr>
                <w:rFonts w:asciiTheme="minorEastAsia" w:hAnsiTheme="minorEastAsia" w:eastAsiaTheme="minorEastAsia"/>
                <w:sz w:val="18"/>
                <w:szCs w:val="18"/>
              </w:rPr>
            </w:pPr>
            <w:r>
              <w:rPr>
                <w:rFonts w:asciiTheme="minorEastAsia" w:hAnsiTheme="minorEastAsia" w:eastAsiaTheme="minorEastAsia"/>
                <w:sz w:val="18"/>
                <w:szCs w:val="18"/>
              </w:rPr>
              <w:t>B1:2110 MHz～2170MHz</w:t>
            </w:r>
          </w:p>
          <w:p w14:paraId="021B2B95">
            <w:pPr>
              <w:rPr>
                <w:rFonts w:asciiTheme="minorEastAsia" w:hAnsiTheme="minorEastAsia" w:eastAsiaTheme="minorEastAsia"/>
                <w:sz w:val="18"/>
                <w:szCs w:val="18"/>
              </w:rPr>
            </w:pPr>
            <w:r>
              <w:rPr>
                <w:rFonts w:asciiTheme="minorEastAsia" w:hAnsiTheme="minorEastAsia" w:eastAsiaTheme="minorEastAsia"/>
                <w:sz w:val="18"/>
                <w:szCs w:val="18"/>
              </w:rPr>
              <w:t>B3:1805 MHz～1880MHz</w:t>
            </w:r>
          </w:p>
          <w:p w14:paraId="6763AE9F">
            <w:pPr>
              <w:rPr>
                <w:rFonts w:asciiTheme="minorEastAsia" w:hAnsiTheme="minorEastAsia" w:eastAsiaTheme="minorEastAsia"/>
                <w:sz w:val="18"/>
                <w:szCs w:val="18"/>
              </w:rPr>
            </w:pPr>
            <w:r>
              <w:rPr>
                <w:rFonts w:asciiTheme="minorEastAsia" w:hAnsiTheme="minorEastAsia" w:eastAsiaTheme="minorEastAsia"/>
                <w:sz w:val="18"/>
                <w:szCs w:val="18"/>
              </w:rPr>
              <w:t>B5:869 MHz～894 MHz</w:t>
            </w:r>
          </w:p>
          <w:p w14:paraId="762EEC24">
            <w:pPr>
              <w:rPr>
                <w:rFonts w:asciiTheme="minorEastAsia" w:hAnsiTheme="minorEastAsia" w:eastAsiaTheme="minorEastAsia"/>
                <w:sz w:val="18"/>
                <w:szCs w:val="18"/>
              </w:rPr>
            </w:pPr>
            <w:r>
              <w:rPr>
                <w:rFonts w:asciiTheme="minorEastAsia" w:hAnsiTheme="minorEastAsia" w:eastAsiaTheme="minorEastAsia"/>
                <w:sz w:val="18"/>
                <w:szCs w:val="18"/>
              </w:rPr>
              <w:t>B8:925 MHz～960 MHz</w:t>
            </w:r>
          </w:p>
        </w:tc>
        <w:tc>
          <w:tcPr>
            <w:tcW w:w="151" w:type="pct"/>
            <w:vAlign w:val="center"/>
          </w:tcPr>
          <w:p w14:paraId="012624E2">
            <w:pPr>
              <w:rPr>
                <w:rFonts w:asciiTheme="minorEastAsia" w:hAnsiTheme="minorEastAsia" w:eastAsiaTheme="minorEastAsia"/>
                <w:sz w:val="18"/>
                <w:szCs w:val="18"/>
              </w:rPr>
            </w:pPr>
            <w:r>
              <w:rPr>
                <w:rFonts w:asciiTheme="minorEastAsia" w:hAnsiTheme="minorEastAsia" w:eastAsiaTheme="minorEastAsia"/>
                <w:sz w:val="18"/>
                <w:szCs w:val="18"/>
              </w:rPr>
              <w:t>RX</w:t>
            </w:r>
          </w:p>
        </w:tc>
        <w:tc>
          <w:tcPr>
            <w:tcW w:w="1141" w:type="pct"/>
            <w:vAlign w:val="center"/>
          </w:tcPr>
          <w:p w14:paraId="2F6192B2">
            <w:pPr>
              <w:jc w:val="center"/>
              <w:rPr>
                <w:rFonts w:asciiTheme="minorEastAsia" w:hAnsiTheme="minorEastAsia" w:eastAsiaTheme="minorEastAsia"/>
                <w:sz w:val="18"/>
                <w:szCs w:val="18"/>
              </w:rPr>
            </w:pPr>
            <w:r>
              <w:rPr>
                <w:rFonts w:asciiTheme="minorEastAsia" w:hAnsiTheme="minorEastAsia" w:eastAsiaTheme="minorEastAsia"/>
                <w:sz w:val="18"/>
                <w:szCs w:val="18"/>
              </w:rPr>
              <w:t>N41:2496 MHz～2690 MHz</w:t>
            </w:r>
          </w:p>
          <w:p w14:paraId="4D459107">
            <w:pPr>
              <w:jc w:val="center"/>
              <w:rPr>
                <w:rFonts w:asciiTheme="minorEastAsia" w:hAnsiTheme="minorEastAsia" w:eastAsiaTheme="minorEastAsia"/>
                <w:sz w:val="18"/>
                <w:szCs w:val="18"/>
              </w:rPr>
            </w:pPr>
            <w:r>
              <w:rPr>
                <w:rFonts w:asciiTheme="minorEastAsia" w:hAnsiTheme="minorEastAsia" w:eastAsiaTheme="minorEastAsia"/>
                <w:sz w:val="18"/>
                <w:szCs w:val="18"/>
              </w:rPr>
              <w:t>N78:3300 MHz～3800 MHz</w:t>
            </w:r>
          </w:p>
          <w:p w14:paraId="00D9A123">
            <w:pPr>
              <w:jc w:val="center"/>
              <w:rPr>
                <w:rFonts w:asciiTheme="minorEastAsia" w:hAnsiTheme="minorEastAsia" w:eastAsiaTheme="minorEastAsia"/>
                <w:sz w:val="18"/>
                <w:szCs w:val="18"/>
              </w:rPr>
            </w:pPr>
            <w:r>
              <w:rPr>
                <w:rFonts w:asciiTheme="minorEastAsia" w:hAnsiTheme="minorEastAsia" w:eastAsiaTheme="minorEastAsia"/>
                <w:sz w:val="18"/>
                <w:szCs w:val="18"/>
              </w:rPr>
              <w:t>N79:4400 MHz～5000 MHz</w:t>
            </w:r>
          </w:p>
        </w:tc>
        <w:tc>
          <w:tcPr>
            <w:tcW w:w="152" w:type="pct"/>
            <w:vAlign w:val="center"/>
          </w:tcPr>
          <w:p w14:paraId="38076095">
            <w:pPr>
              <w:jc w:val="center"/>
              <w:rPr>
                <w:rFonts w:asciiTheme="minorEastAsia" w:hAnsiTheme="minorEastAsia" w:eastAsiaTheme="minorEastAsia"/>
                <w:sz w:val="18"/>
                <w:szCs w:val="18"/>
              </w:rPr>
            </w:pPr>
            <w:r>
              <w:rPr>
                <w:rFonts w:asciiTheme="minorEastAsia" w:hAnsiTheme="minorEastAsia" w:eastAsiaTheme="minorEastAsia"/>
                <w:sz w:val="18"/>
                <w:szCs w:val="18"/>
              </w:rPr>
              <w:t>RX</w:t>
            </w:r>
          </w:p>
        </w:tc>
        <w:tc>
          <w:tcPr>
            <w:tcW w:w="837" w:type="pct"/>
            <w:vAlign w:val="center"/>
          </w:tcPr>
          <w:p w14:paraId="0E10F5B2">
            <w:pPr>
              <w:rPr>
                <w:rFonts w:asciiTheme="minorEastAsia" w:hAnsiTheme="minorEastAsia" w:eastAsiaTheme="minorEastAsia"/>
                <w:sz w:val="18"/>
                <w:szCs w:val="18"/>
              </w:rPr>
            </w:pPr>
            <w:r>
              <w:rPr>
                <w:rFonts w:asciiTheme="minorEastAsia" w:hAnsiTheme="minorEastAsia" w:eastAsiaTheme="minorEastAsia"/>
                <w:sz w:val="18"/>
                <w:szCs w:val="18"/>
              </w:rPr>
              <w:t>N1: 2110 MHz～2170 MHz</w:t>
            </w:r>
          </w:p>
        </w:tc>
      </w:tr>
      <w:tr w14:paraId="25BB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1" w:type="pct"/>
            <w:vAlign w:val="center"/>
          </w:tcPr>
          <w:p w14:paraId="2D2A643B">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调制方式</w:t>
            </w:r>
          </w:p>
        </w:tc>
        <w:tc>
          <w:tcPr>
            <w:tcW w:w="1161" w:type="pct"/>
            <w:vAlign w:val="center"/>
          </w:tcPr>
          <w:p w14:paraId="4E540905">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上行：</w:t>
            </w:r>
            <w:r>
              <w:rPr>
                <w:rFonts w:asciiTheme="minorEastAsia" w:hAnsiTheme="minorEastAsia" w:eastAsiaTheme="minorEastAsia"/>
                <w:sz w:val="18"/>
                <w:szCs w:val="18"/>
              </w:rPr>
              <w:t>QPSK；16QAM</w:t>
            </w:r>
          </w:p>
          <w:p w14:paraId="08EAD9A4">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下行：</w:t>
            </w:r>
            <w:r>
              <w:rPr>
                <w:rFonts w:asciiTheme="minorEastAsia" w:hAnsiTheme="minorEastAsia" w:eastAsiaTheme="minorEastAsia"/>
                <w:sz w:val="18"/>
                <w:szCs w:val="18"/>
              </w:rPr>
              <w:t xml:space="preserve">QPSK；16QAM </w:t>
            </w:r>
            <w:r>
              <w:rPr>
                <w:rFonts w:hint="eastAsia" w:asciiTheme="minorEastAsia" w:hAnsiTheme="minorEastAsia" w:eastAsiaTheme="minorEastAsia"/>
                <w:sz w:val="18"/>
                <w:szCs w:val="18"/>
              </w:rPr>
              <w:t>；</w:t>
            </w:r>
            <w:r>
              <w:rPr>
                <w:rFonts w:asciiTheme="minorEastAsia" w:hAnsiTheme="minorEastAsia" w:eastAsiaTheme="minorEastAsia"/>
                <w:sz w:val="18"/>
                <w:szCs w:val="18"/>
              </w:rPr>
              <w:t>64QAM</w:t>
            </w:r>
          </w:p>
        </w:tc>
        <w:tc>
          <w:tcPr>
            <w:tcW w:w="1217" w:type="pct"/>
            <w:gridSpan w:val="2"/>
            <w:vAlign w:val="center"/>
          </w:tcPr>
          <w:p w14:paraId="34AC0D5E">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上行：</w:t>
            </w:r>
            <w:r>
              <w:rPr>
                <w:rFonts w:asciiTheme="minorEastAsia" w:hAnsiTheme="minorEastAsia" w:eastAsiaTheme="minorEastAsia"/>
                <w:sz w:val="18"/>
                <w:szCs w:val="18"/>
              </w:rPr>
              <w:t>QPSK；16QAM</w:t>
            </w:r>
          </w:p>
          <w:p w14:paraId="4789B01B">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下行：</w:t>
            </w:r>
            <w:r>
              <w:rPr>
                <w:rFonts w:asciiTheme="minorEastAsia" w:hAnsiTheme="minorEastAsia" w:eastAsiaTheme="minorEastAsia"/>
                <w:sz w:val="18"/>
                <w:szCs w:val="18"/>
              </w:rPr>
              <w:t xml:space="preserve">QPSK；16QAM </w:t>
            </w:r>
            <w:r>
              <w:rPr>
                <w:rFonts w:hint="eastAsia" w:asciiTheme="minorEastAsia" w:hAnsiTheme="minorEastAsia" w:eastAsiaTheme="minorEastAsia"/>
                <w:sz w:val="18"/>
                <w:szCs w:val="18"/>
              </w:rPr>
              <w:t>；</w:t>
            </w:r>
            <w:r>
              <w:rPr>
                <w:rFonts w:asciiTheme="minorEastAsia" w:hAnsiTheme="minorEastAsia" w:eastAsiaTheme="minorEastAsia"/>
                <w:sz w:val="18"/>
                <w:szCs w:val="18"/>
              </w:rPr>
              <w:t>64QAM</w:t>
            </w:r>
          </w:p>
        </w:tc>
        <w:tc>
          <w:tcPr>
            <w:tcW w:w="1292" w:type="pct"/>
            <w:gridSpan w:val="2"/>
            <w:vAlign w:val="center"/>
          </w:tcPr>
          <w:p w14:paraId="0835D74D">
            <w:pPr>
              <w:jc w:val="center"/>
              <w:rPr>
                <w:rFonts w:asciiTheme="minorEastAsia" w:hAnsiTheme="minorEastAsia" w:eastAsiaTheme="minorEastAsia"/>
                <w:sz w:val="18"/>
                <w:szCs w:val="18"/>
              </w:rPr>
            </w:pPr>
            <w:r>
              <w:rPr>
                <w:rFonts w:asciiTheme="minorEastAsia" w:hAnsiTheme="minorEastAsia" w:eastAsiaTheme="minorEastAsia"/>
                <w:sz w:val="18"/>
                <w:szCs w:val="18"/>
              </w:rPr>
              <w:t xml:space="preserve">QPSK；16QAM ；64QAM ；256QAM </w:t>
            </w:r>
          </w:p>
        </w:tc>
        <w:tc>
          <w:tcPr>
            <w:tcW w:w="989" w:type="pct"/>
            <w:gridSpan w:val="2"/>
            <w:vAlign w:val="center"/>
          </w:tcPr>
          <w:p w14:paraId="14915022">
            <w:pPr>
              <w:jc w:val="center"/>
              <w:rPr>
                <w:rFonts w:asciiTheme="minorEastAsia" w:hAnsiTheme="minorEastAsia" w:eastAsiaTheme="minorEastAsia"/>
                <w:sz w:val="18"/>
                <w:szCs w:val="18"/>
              </w:rPr>
            </w:pPr>
            <w:r>
              <w:rPr>
                <w:rFonts w:asciiTheme="minorEastAsia" w:hAnsiTheme="minorEastAsia" w:eastAsiaTheme="minorEastAsia"/>
                <w:sz w:val="18"/>
                <w:szCs w:val="18"/>
              </w:rPr>
              <w:t xml:space="preserve">QPSK；16QAM </w:t>
            </w:r>
            <w:r>
              <w:rPr>
                <w:rFonts w:hint="eastAsia" w:asciiTheme="minorEastAsia" w:hAnsiTheme="minorEastAsia" w:eastAsiaTheme="minorEastAsia"/>
                <w:sz w:val="18"/>
                <w:szCs w:val="18"/>
              </w:rPr>
              <w:t>；</w:t>
            </w:r>
            <w:r>
              <w:rPr>
                <w:rFonts w:asciiTheme="minorEastAsia" w:hAnsiTheme="minorEastAsia" w:eastAsiaTheme="minorEastAsia"/>
                <w:sz w:val="18"/>
                <w:szCs w:val="18"/>
              </w:rPr>
              <w:t xml:space="preserve">64QAM </w:t>
            </w:r>
            <w:r>
              <w:rPr>
                <w:rFonts w:hint="eastAsia" w:asciiTheme="minorEastAsia" w:hAnsiTheme="minorEastAsia" w:eastAsiaTheme="minorEastAsia"/>
                <w:sz w:val="18"/>
                <w:szCs w:val="18"/>
              </w:rPr>
              <w:t>；</w:t>
            </w:r>
            <w:r>
              <w:rPr>
                <w:rFonts w:asciiTheme="minorEastAsia" w:hAnsiTheme="minorEastAsia" w:eastAsiaTheme="minorEastAsia"/>
                <w:sz w:val="18"/>
                <w:szCs w:val="18"/>
              </w:rPr>
              <w:t>256QAM</w:t>
            </w:r>
          </w:p>
        </w:tc>
      </w:tr>
      <w:tr w14:paraId="6B83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1" w:type="pct"/>
            <w:vAlign w:val="center"/>
          </w:tcPr>
          <w:p w14:paraId="3684FC4E">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双工收发信道间隔</w:t>
            </w:r>
          </w:p>
        </w:tc>
        <w:tc>
          <w:tcPr>
            <w:tcW w:w="1161" w:type="pct"/>
            <w:vAlign w:val="center"/>
          </w:tcPr>
          <w:p w14:paraId="26D00757">
            <w:pPr>
              <w:jc w:val="center"/>
              <w:rPr>
                <w:rFonts w:asciiTheme="minorEastAsia" w:hAnsiTheme="minorEastAsia" w:eastAsiaTheme="minorEastAsia"/>
                <w:sz w:val="18"/>
                <w:szCs w:val="18"/>
              </w:rPr>
            </w:pPr>
            <w:r>
              <w:rPr>
                <w:rFonts w:asciiTheme="minorEastAsia" w:hAnsiTheme="minorEastAsia" w:eastAsiaTheme="minorEastAsia"/>
                <w:sz w:val="18"/>
                <w:szCs w:val="18"/>
              </w:rPr>
              <w:t>/</w:t>
            </w:r>
          </w:p>
        </w:tc>
        <w:tc>
          <w:tcPr>
            <w:tcW w:w="1217" w:type="pct"/>
            <w:gridSpan w:val="2"/>
            <w:vAlign w:val="center"/>
          </w:tcPr>
          <w:p w14:paraId="15B667A1">
            <w:pPr>
              <w:jc w:val="center"/>
              <w:rPr>
                <w:rFonts w:asciiTheme="minorEastAsia" w:hAnsiTheme="minorEastAsia" w:eastAsiaTheme="minorEastAsia"/>
                <w:sz w:val="18"/>
                <w:szCs w:val="18"/>
              </w:rPr>
            </w:pPr>
            <w:r>
              <w:rPr>
                <w:rFonts w:asciiTheme="minorEastAsia" w:hAnsiTheme="minorEastAsia" w:eastAsiaTheme="minorEastAsia"/>
                <w:sz w:val="18"/>
                <w:szCs w:val="18"/>
              </w:rPr>
              <w:t>B1:190MHz</w:t>
            </w:r>
          </w:p>
          <w:p w14:paraId="11B248DC">
            <w:pPr>
              <w:jc w:val="center"/>
              <w:rPr>
                <w:rFonts w:asciiTheme="minorEastAsia" w:hAnsiTheme="minorEastAsia" w:eastAsiaTheme="minorEastAsia"/>
                <w:sz w:val="18"/>
                <w:szCs w:val="18"/>
              </w:rPr>
            </w:pPr>
            <w:r>
              <w:rPr>
                <w:rFonts w:asciiTheme="minorEastAsia" w:hAnsiTheme="minorEastAsia" w:eastAsiaTheme="minorEastAsia"/>
                <w:sz w:val="18"/>
                <w:szCs w:val="18"/>
              </w:rPr>
              <w:t>B3:95 MHz</w:t>
            </w:r>
          </w:p>
          <w:p w14:paraId="7FA1CA54">
            <w:pPr>
              <w:jc w:val="center"/>
              <w:rPr>
                <w:rFonts w:asciiTheme="minorEastAsia" w:hAnsiTheme="minorEastAsia" w:eastAsiaTheme="minorEastAsia"/>
                <w:sz w:val="18"/>
                <w:szCs w:val="18"/>
              </w:rPr>
            </w:pPr>
            <w:r>
              <w:rPr>
                <w:rFonts w:asciiTheme="minorEastAsia" w:hAnsiTheme="minorEastAsia" w:eastAsiaTheme="minorEastAsia"/>
                <w:sz w:val="18"/>
                <w:szCs w:val="18"/>
              </w:rPr>
              <w:t>B5:45 MHz</w:t>
            </w:r>
          </w:p>
          <w:p w14:paraId="7CDBF15F">
            <w:pPr>
              <w:jc w:val="center"/>
              <w:rPr>
                <w:rFonts w:asciiTheme="minorEastAsia" w:hAnsiTheme="minorEastAsia" w:eastAsiaTheme="minorEastAsia"/>
                <w:sz w:val="18"/>
                <w:szCs w:val="18"/>
              </w:rPr>
            </w:pPr>
            <w:r>
              <w:rPr>
                <w:rFonts w:asciiTheme="minorEastAsia" w:hAnsiTheme="minorEastAsia" w:eastAsiaTheme="minorEastAsia"/>
                <w:sz w:val="18"/>
                <w:szCs w:val="18"/>
              </w:rPr>
              <w:t>B8:45 MHz</w:t>
            </w:r>
          </w:p>
        </w:tc>
        <w:tc>
          <w:tcPr>
            <w:tcW w:w="1292" w:type="pct"/>
            <w:gridSpan w:val="2"/>
            <w:vAlign w:val="center"/>
          </w:tcPr>
          <w:p w14:paraId="1CC7C944">
            <w:pPr>
              <w:jc w:val="center"/>
              <w:rPr>
                <w:rFonts w:asciiTheme="minorEastAsia" w:hAnsiTheme="minorEastAsia" w:eastAsiaTheme="minorEastAsia"/>
                <w:sz w:val="18"/>
                <w:szCs w:val="18"/>
              </w:rPr>
            </w:pPr>
            <w:r>
              <w:rPr>
                <w:rFonts w:asciiTheme="minorEastAsia" w:hAnsiTheme="minorEastAsia" w:eastAsiaTheme="minorEastAsia"/>
                <w:sz w:val="18"/>
                <w:szCs w:val="18"/>
              </w:rPr>
              <w:t>/</w:t>
            </w:r>
          </w:p>
        </w:tc>
        <w:tc>
          <w:tcPr>
            <w:tcW w:w="989" w:type="pct"/>
            <w:gridSpan w:val="2"/>
            <w:vAlign w:val="center"/>
          </w:tcPr>
          <w:p w14:paraId="37810401">
            <w:pPr>
              <w:jc w:val="center"/>
              <w:rPr>
                <w:rFonts w:asciiTheme="minorEastAsia" w:hAnsiTheme="minorEastAsia" w:eastAsiaTheme="minorEastAsia"/>
                <w:sz w:val="18"/>
                <w:szCs w:val="18"/>
              </w:rPr>
            </w:pPr>
            <w:r>
              <w:rPr>
                <w:rFonts w:asciiTheme="minorEastAsia" w:hAnsiTheme="minorEastAsia" w:eastAsiaTheme="minorEastAsia"/>
                <w:sz w:val="18"/>
                <w:szCs w:val="18"/>
              </w:rPr>
              <w:t>190MHz</w:t>
            </w:r>
          </w:p>
        </w:tc>
      </w:tr>
      <w:tr w14:paraId="1872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1" w:type="pct"/>
            <w:vAlign w:val="center"/>
          </w:tcPr>
          <w:p w14:paraId="2BFCACDA">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输出功率</w:t>
            </w:r>
          </w:p>
        </w:tc>
        <w:tc>
          <w:tcPr>
            <w:tcW w:w="1161" w:type="pct"/>
            <w:vAlign w:val="center"/>
          </w:tcPr>
          <w:p w14:paraId="177FE22B">
            <w:pPr>
              <w:jc w:val="center"/>
              <w:rPr>
                <w:rFonts w:asciiTheme="minorEastAsia" w:hAnsiTheme="minorEastAsia" w:eastAsiaTheme="minorEastAsia"/>
                <w:sz w:val="18"/>
                <w:szCs w:val="18"/>
              </w:rPr>
            </w:pPr>
            <w:r>
              <w:rPr>
                <w:rFonts w:asciiTheme="minorEastAsia" w:hAnsiTheme="minorEastAsia" w:eastAsiaTheme="minorEastAsia"/>
                <w:sz w:val="18"/>
                <w:szCs w:val="18"/>
              </w:rPr>
              <w:t>23dBm±2.7dB</w:t>
            </w:r>
          </w:p>
        </w:tc>
        <w:tc>
          <w:tcPr>
            <w:tcW w:w="1217" w:type="pct"/>
            <w:gridSpan w:val="2"/>
            <w:vAlign w:val="center"/>
          </w:tcPr>
          <w:p w14:paraId="20143D3A">
            <w:pPr>
              <w:jc w:val="center"/>
              <w:rPr>
                <w:rFonts w:asciiTheme="minorEastAsia" w:hAnsiTheme="minorEastAsia" w:eastAsiaTheme="minorEastAsia"/>
                <w:sz w:val="18"/>
                <w:szCs w:val="18"/>
              </w:rPr>
            </w:pPr>
            <w:r>
              <w:rPr>
                <w:rFonts w:asciiTheme="minorEastAsia" w:hAnsiTheme="minorEastAsia" w:eastAsiaTheme="minorEastAsia"/>
                <w:sz w:val="18"/>
                <w:szCs w:val="18"/>
              </w:rPr>
              <w:t>23dBm±2.7dB</w:t>
            </w:r>
          </w:p>
        </w:tc>
        <w:tc>
          <w:tcPr>
            <w:tcW w:w="1292" w:type="pct"/>
            <w:gridSpan w:val="2"/>
            <w:vAlign w:val="center"/>
          </w:tcPr>
          <w:p w14:paraId="437D96FD">
            <w:pPr>
              <w:jc w:val="center"/>
              <w:rPr>
                <w:rFonts w:asciiTheme="minorEastAsia" w:hAnsiTheme="minorEastAsia" w:eastAsiaTheme="minorEastAsia"/>
                <w:sz w:val="18"/>
                <w:szCs w:val="18"/>
              </w:rPr>
            </w:pPr>
            <w:r>
              <w:rPr>
                <w:rFonts w:asciiTheme="minorEastAsia" w:hAnsiTheme="minorEastAsia" w:eastAsiaTheme="minorEastAsia"/>
                <w:sz w:val="18"/>
                <w:szCs w:val="18"/>
              </w:rPr>
              <w:t>N41:23dBm±2dB</w:t>
            </w:r>
          </w:p>
          <w:p w14:paraId="4416353C">
            <w:pPr>
              <w:jc w:val="center"/>
              <w:rPr>
                <w:rFonts w:asciiTheme="minorEastAsia" w:hAnsiTheme="minorEastAsia" w:eastAsiaTheme="minorEastAsia"/>
                <w:sz w:val="18"/>
                <w:szCs w:val="18"/>
              </w:rPr>
            </w:pPr>
            <w:r>
              <w:rPr>
                <w:rFonts w:asciiTheme="minorEastAsia" w:hAnsiTheme="minorEastAsia" w:eastAsiaTheme="minorEastAsia"/>
                <w:sz w:val="18"/>
                <w:szCs w:val="18"/>
              </w:rPr>
              <w:t>N78:23dBm+2dB/23dBm-3dB</w:t>
            </w:r>
          </w:p>
          <w:p w14:paraId="23052A05">
            <w:pPr>
              <w:jc w:val="center"/>
              <w:rPr>
                <w:rFonts w:asciiTheme="minorEastAsia" w:hAnsiTheme="minorEastAsia" w:eastAsiaTheme="minorEastAsia"/>
                <w:sz w:val="18"/>
                <w:szCs w:val="18"/>
              </w:rPr>
            </w:pPr>
            <w:r>
              <w:rPr>
                <w:rFonts w:asciiTheme="minorEastAsia" w:hAnsiTheme="minorEastAsia" w:eastAsiaTheme="minorEastAsia"/>
                <w:sz w:val="18"/>
                <w:szCs w:val="18"/>
              </w:rPr>
              <w:t>N79:23dBm+2dB/23dBm-3dB</w:t>
            </w:r>
          </w:p>
        </w:tc>
        <w:tc>
          <w:tcPr>
            <w:tcW w:w="989" w:type="pct"/>
            <w:gridSpan w:val="2"/>
            <w:vAlign w:val="center"/>
          </w:tcPr>
          <w:p w14:paraId="1829D8E3">
            <w:pPr>
              <w:jc w:val="center"/>
              <w:rPr>
                <w:rFonts w:asciiTheme="minorEastAsia" w:hAnsiTheme="minorEastAsia" w:eastAsiaTheme="minorEastAsia"/>
                <w:sz w:val="18"/>
                <w:szCs w:val="18"/>
              </w:rPr>
            </w:pPr>
            <w:r>
              <w:rPr>
                <w:rFonts w:asciiTheme="minorEastAsia" w:hAnsiTheme="minorEastAsia" w:eastAsiaTheme="minorEastAsia"/>
                <w:sz w:val="18"/>
                <w:szCs w:val="18"/>
              </w:rPr>
              <w:t>23dBm±2dB</w:t>
            </w:r>
          </w:p>
        </w:tc>
      </w:tr>
      <w:tr w14:paraId="1476C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1" w:type="pct"/>
            <w:vAlign w:val="center"/>
          </w:tcPr>
          <w:p w14:paraId="7007BDD3">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输出阻抗</w:t>
            </w:r>
          </w:p>
        </w:tc>
        <w:tc>
          <w:tcPr>
            <w:tcW w:w="1161" w:type="pct"/>
            <w:vAlign w:val="center"/>
          </w:tcPr>
          <w:p w14:paraId="740A2E60">
            <w:pPr>
              <w:jc w:val="center"/>
              <w:rPr>
                <w:rFonts w:asciiTheme="minorEastAsia" w:hAnsiTheme="minorEastAsia" w:eastAsiaTheme="minorEastAsia"/>
                <w:sz w:val="18"/>
                <w:szCs w:val="18"/>
              </w:rPr>
            </w:pPr>
            <w:r>
              <w:rPr>
                <w:rFonts w:asciiTheme="minorEastAsia" w:hAnsiTheme="minorEastAsia" w:eastAsiaTheme="minorEastAsia"/>
                <w:sz w:val="18"/>
                <w:szCs w:val="18"/>
              </w:rPr>
              <w:t>50Ω</w:t>
            </w:r>
          </w:p>
        </w:tc>
        <w:tc>
          <w:tcPr>
            <w:tcW w:w="1217" w:type="pct"/>
            <w:gridSpan w:val="2"/>
            <w:vAlign w:val="center"/>
          </w:tcPr>
          <w:p w14:paraId="45A21A47">
            <w:pPr>
              <w:jc w:val="center"/>
              <w:rPr>
                <w:rFonts w:asciiTheme="minorEastAsia" w:hAnsiTheme="minorEastAsia" w:eastAsiaTheme="minorEastAsia"/>
                <w:sz w:val="18"/>
                <w:szCs w:val="18"/>
              </w:rPr>
            </w:pPr>
            <w:r>
              <w:rPr>
                <w:rFonts w:asciiTheme="minorEastAsia" w:hAnsiTheme="minorEastAsia" w:eastAsiaTheme="minorEastAsia"/>
                <w:sz w:val="18"/>
                <w:szCs w:val="18"/>
              </w:rPr>
              <w:t>50Ω</w:t>
            </w:r>
          </w:p>
        </w:tc>
        <w:tc>
          <w:tcPr>
            <w:tcW w:w="1292" w:type="pct"/>
            <w:gridSpan w:val="2"/>
            <w:vAlign w:val="center"/>
          </w:tcPr>
          <w:p w14:paraId="76D6E3F1">
            <w:pPr>
              <w:jc w:val="center"/>
              <w:rPr>
                <w:rFonts w:asciiTheme="minorEastAsia" w:hAnsiTheme="minorEastAsia" w:eastAsiaTheme="minorEastAsia"/>
                <w:sz w:val="18"/>
                <w:szCs w:val="18"/>
              </w:rPr>
            </w:pPr>
            <w:r>
              <w:rPr>
                <w:rFonts w:asciiTheme="minorEastAsia" w:hAnsiTheme="minorEastAsia" w:eastAsiaTheme="minorEastAsia"/>
                <w:sz w:val="18"/>
                <w:szCs w:val="18"/>
              </w:rPr>
              <w:t>50Ω</w:t>
            </w:r>
          </w:p>
        </w:tc>
        <w:tc>
          <w:tcPr>
            <w:tcW w:w="989" w:type="pct"/>
            <w:gridSpan w:val="2"/>
            <w:vAlign w:val="center"/>
          </w:tcPr>
          <w:p w14:paraId="2CF37FB3">
            <w:pPr>
              <w:jc w:val="center"/>
              <w:rPr>
                <w:rFonts w:asciiTheme="minorEastAsia" w:hAnsiTheme="minorEastAsia" w:eastAsiaTheme="minorEastAsia"/>
                <w:sz w:val="18"/>
                <w:szCs w:val="18"/>
              </w:rPr>
            </w:pPr>
            <w:r>
              <w:rPr>
                <w:rFonts w:asciiTheme="minorEastAsia" w:hAnsiTheme="minorEastAsia" w:eastAsiaTheme="minorEastAsia"/>
                <w:sz w:val="18"/>
                <w:szCs w:val="18"/>
              </w:rPr>
              <w:t>50Ω</w:t>
            </w:r>
          </w:p>
        </w:tc>
      </w:tr>
      <w:tr w14:paraId="1047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1" w:type="pct"/>
            <w:vAlign w:val="center"/>
          </w:tcPr>
          <w:p w14:paraId="2BA159E0">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信道带宽</w:t>
            </w:r>
          </w:p>
        </w:tc>
        <w:tc>
          <w:tcPr>
            <w:tcW w:w="1161" w:type="pct"/>
            <w:vAlign w:val="center"/>
          </w:tcPr>
          <w:p w14:paraId="6801B62C">
            <w:pPr>
              <w:jc w:val="center"/>
              <w:rPr>
                <w:rFonts w:asciiTheme="minorEastAsia" w:hAnsiTheme="minorEastAsia" w:eastAsiaTheme="minorEastAsia"/>
                <w:sz w:val="18"/>
                <w:szCs w:val="18"/>
              </w:rPr>
            </w:pPr>
            <w:r>
              <w:rPr>
                <w:rFonts w:asciiTheme="minorEastAsia" w:hAnsiTheme="minorEastAsia" w:eastAsiaTheme="minorEastAsia"/>
                <w:sz w:val="18"/>
                <w:szCs w:val="18"/>
              </w:rPr>
              <w:t xml:space="preserve">1.4MHz～20MHz </w:t>
            </w:r>
          </w:p>
        </w:tc>
        <w:tc>
          <w:tcPr>
            <w:tcW w:w="1217" w:type="pct"/>
            <w:gridSpan w:val="2"/>
            <w:vAlign w:val="center"/>
          </w:tcPr>
          <w:p w14:paraId="24B6A0FC">
            <w:pPr>
              <w:jc w:val="center"/>
              <w:rPr>
                <w:rFonts w:asciiTheme="minorEastAsia" w:hAnsiTheme="minorEastAsia" w:eastAsiaTheme="minorEastAsia"/>
                <w:sz w:val="18"/>
                <w:szCs w:val="18"/>
              </w:rPr>
            </w:pPr>
            <w:r>
              <w:rPr>
                <w:rFonts w:asciiTheme="minorEastAsia" w:hAnsiTheme="minorEastAsia" w:eastAsiaTheme="minorEastAsia"/>
                <w:sz w:val="18"/>
                <w:szCs w:val="18"/>
              </w:rPr>
              <w:t>5MHz～20MHz</w:t>
            </w:r>
          </w:p>
        </w:tc>
        <w:tc>
          <w:tcPr>
            <w:tcW w:w="1292" w:type="pct"/>
            <w:gridSpan w:val="2"/>
            <w:vAlign w:val="center"/>
          </w:tcPr>
          <w:p w14:paraId="0D4AA5B6">
            <w:pPr>
              <w:jc w:val="center"/>
              <w:rPr>
                <w:rFonts w:asciiTheme="minorEastAsia" w:hAnsiTheme="minorEastAsia" w:eastAsiaTheme="minorEastAsia"/>
                <w:sz w:val="18"/>
                <w:szCs w:val="18"/>
              </w:rPr>
            </w:pPr>
            <w:r>
              <w:rPr>
                <w:rFonts w:asciiTheme="minorEastAsia" w:hAnsiTheme="minorEastAsia" w:eastAsiaTheme="minorEastAsia"/>
                <w:sz w:val="18"/>
                <w:szCs w:val="18"/>
              </w:rPr>
              <w:t>10MHz～100MHz</w:t>
            </w:r>
          </w:p>
        </w:tc>
        <w:tc>
          <w:tcPr>
            <w:tcW w:w="989" w:type="pct"/>
            <w:gridSpan w:val="2"/>
            <w:vAlign w:val="center"/>
          </w:tcPr>
          <w:p w14:paraId="03C3F982">
            <w:pPr>
              <w:jc w:val="center"/>
              <w:rPr>
                <w:rFonts w:asciiTheme="minorEastAsia" w:hAnsiTheme="minorEastAsia" w:eastAsiaTheme="minorEastAsia"/>
                <w:sz w:val="18"/>
                <w:szCs w:val="18"/>
              </w:rPr>
            </w:pPr>
            <w:r>
              <w:rPr>
                <w:rFonts w:asciiTheme="minorEastAsia" w:hAnsiTheme="minorEastAsia" w:eastAsiaTheme="minorEastAsia"/>
                <w:sz w:val="18"/>
                <w:szCs w:val="18"/>
              </w:rPr>
              <w:t>5MHz～20MHz</w:t>
            </w:r>
          </w:p>
        </w:tc>
      </w:tr>
      <w:tr w14:paraId="1B96B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1" w:type="pct"/>
            <w:vAlign w:val="center"/>
          </w:tcPr>
          <w:p w14:paraId="26FE4676">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频率误差</w:t>
            </w:r>
          </w:p>
        </w:tc>
        <w:tc>
          <w:tcPr>
            <w:tcW w:w="1161" w:type="pct"/>
            <w:vAlign w:val="center"/>
          </w:tcPr>
          <w:p w14:paraId="03E1E8EC">
            <w:pPr>
              <w:jc w:val="center"/>
              <w:rPr>
                <w:rFonts w:asciiTheme="minorEastAsia" w:hAnsiTheme="minorEastAsia" w:eastAsiaTheme="minorEastAsia"/>
                <w:sz w:val="18"/>
                <w:szCs w:val="18"/>
              </w:rPr>
            </w:pPr>
            <w:r>
              <w:rPr>
                <w:rFonts w:asciiTheme="minorEastAsia" w:hAnsiTheme="minorEastAsia" w:eastAsiaTheme="minorEastAsia"/>
                <w:sz w:val="18"/>
                <w:szCs w:val="18"/>
              </w:rPr>
              <w:t xml:space="preserve">|Δf| </w:t>
            </w:r>
            <w:r>
              <w:rPr>
                <w:rFonts w:hint="eastAsia" w:asciiTheme="minorEastAsia" w:hAnsiTheme="minorEastAsia" w:eastAsiaTheme="minorEastAsia"/>
                <w:sz w:val="18"/>
                <w:szCs w:val="18"/>
              </w:rPr>
              <w:t>≤（</w:t>
            </w:r>
            <w:r>
              <w:rPr>
                <w:rFonts w:asciiTheme="minorEastAsia" w:hAnsiTheme="minorEastAsia" w:eastAsiaTheme="minorEastAsia"/>
                <w:sz w:val="18"/>
                <w:szCs w:val="18"/>
              </w:rPr>
              <w:t>0.1 PPM + 15 Hz）</w:t>
            </w:r>
          </w:p>
        </w:tc>
        <w:tc>
          <w:tcPr>
            <w:tcW w:w="1217" w:type="pct"/>
            <w:gridSpan w:val="2"/>
            <w:vAlign w:val="center"/>
          </w:tcPr>
          <w:p w14:paraId="0CB1673A">
            <w:pPr>
              <w:jc w:val="center"/>
              <w:rPr>
                <w:rFonts w:asciiTheme="minorEastAsia" w:hAnsiTheme="minorEastAsia" w:eastAsiaTheme="minorEastAsia"/>
                <w:sz w:val="18"/>
                <w:szCs w:val="18"/>
              </w:rPr>
            </w:pPr>
            <w:r>
              <w:rPr>
                <w:rFonts w:asciiTheme="minorEastAsia" w:hAnsiTheme="minorEastAsia" w:eastAsiaTheme="minorEastAsia"/>
                <w:sz w:val="18"/>
                <w:szCs w:val="18"/>
              </w:rPr>
              <w:t xml:space="preserve">|Δf| </w:t>
            </w:r>
            <w:r>
              <w:rPr>
                <w:rFonts w:hint="eastAsia" w:asciiTheme="minorEastAsia" w:hAnsiTheme="minorEastAsia" w:eastAsiaTheme="minorEastAsia"/>
                <w:sz w:val="18"/>
                <w:szCs w:val="18"/>
              </w:rPr>
              <w:t>≤（</w:t>
            </w:r>
            <w:r>
              <w:rPr>
                <w:rFonts w:asciiTheme="minorEastAsia" w:hAnsiTheme="minorEastAsia" w:eastAsiaTheme="minorEastAsia"/>
                <w:sz w:val="18"/>
                <w:szCs w:val="18"/>
              </w:rPr>
              <w:t>0.1 PPM + 15 Hz）</w:t>
            </w:r>
          </w:p>
        </w:tc>
        <w:tc>
          <w:tcPr>
            <w:tcW w:w="1292" w:type="pct"/>
            <w:gridSpan w:val="2"/>
            <w:vAlign w:val="center"/>
          </w:tcPr>
          <w:p w14:paraId="0CD1C61C">
            <w:pPr>
              <w:jc w:val="center"/>
              <w:rPr>
                <w:rFonts w:asciiTheme="minorEastAsia" w:hAnsiTheme="minorEastAsia" w:eastAsiaTheme="minorEastAsia"/>
                <w:sz w:val="18"/>
                <w:szCs w:val="18"/>
              </w:rPr>
            </w:pPr>
            <w:r>
              <w:rPr>
                <w:rFonts w:asciiTheme="minorEastAsia" w:hAnsiTheme="minorEastAsia" w:eastAsiaTheme="minorEastAsia"/>
                <w:sz w:val="18"/>
                <w:szCs w:val="18"/>
              </w:rPr>
              <w:t xml:space="preserve">|Δf| </w:t>
            </w:r>
            <w:r>
              <w:rPr>
                <w:rFonts w:hint="eastAsia" w:asciiTheme="minorEastAsia" w:hAnsiTheme="minorEastAsia" w:eastAsiaTheme="minorEastAsia"/>
                <w:sz w:val="18"/>
                <w:szCs w:val="18"/>
              </w:rPr>
              <w:t>≤（</w:t>
            </w:r>
            <w:r>
              <w:rPr>
                <w:rFonts w:asciiTheme="minorEastAsia" w:hAnsiTheme="minorEastAsia" w:eastAsiaTheme="minorEastAsia"/>
                <w:sz w:val="18"/>
                <w:szCs w:val="18"/>
              </w:rPr>
              <w:t>0.1 PPM + 15 Hz）</w:t>
            </w:r>
          </w:p>
        </w:tc>
        <w:tc>
          <w:tcPr>
            <w:tcW w:w="989" w:type="pct"/>
            <w:gridSpan w:val="2"/>
            <w:vAlign w:val="center"/>
          </w:tcPr>
          <w:p w14:paraId="66A9CFD3">
            <w:pPr>
              <w:jc w:val="center"/>
              <w:rPr>
                <w:rFonts w:asciiTheme="minorEastAsia" w:hAnsiTheme="minorEastAsia" w:eastAsiaTheme="minorEastAsia"/>
                <w:sz w:val="18"/>
                <w:szCs w:val="18"/>
              </w:rPr>
            </w:pPr>
            <w:r>
              <w:rPr>
                <w:rFonts w:asciiTheme="minorEastAsia" w:hAnsiTheme="minorEastAsia" w:eastAsiaTheme="minorEastAsia"/>
                <w:sz w:val="18"/>
                <w:szCs w:val="18"/>
              </w:rPr>
              <w:t xml:space="preserve">|Δf| </w:t>
            </w:r>
            <w:r>
              <w:rPr>
                <w:rFonts w:hint="eastAsia" w:asciiTheme="minorEastAsia" w:hAnsiTheme="minorEastAsia" w:eastAsiaTheme="minorEastAsia"/>
                <w:sz w:val="18"/>
                <w:szCs w:val="18"/>
              </w:rPr>
              <w:t>≤（</w:t>
            </w:r>
            <w:r>
              <w:rPr>
                <w:rFonts w:asciiTheme="minorEastAsia" w:hAnsiTheme="minorEastAsia" w:eastAsiaTheme="minorEastAsia"/>
                <w:sz w:val="18"/>
                <w:szCs w:val="18"/>
              </w:rPr>
              <w:t>0.1 PPM + 15 Hz）</w:t>
            </w:r>
          </w:p>
        </w:tc>
      </w:tr>
      <w:tr w14:paraId="3064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1" w:type="pct"/>
            <w:vAlign w:val="center"/>
          </w:tcPr>
          <w:p w14:paraId="01402FCA">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接收灵敏度</w:t>
            </w:r>
          </w:p>
        </w:tc>
        <w:tc>
          <w:tcPr>
            <w:tcW w:w="1161" w:type="pct"/>
            <w:vAlign w:val="center"/>
          </w:tcPr>
          <w:p w14:paraId="16761381">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B</w:t>
            </w:r>
            <w:r>
              <w:rPr>
                <w:rFonts w:asciiTheme="minorEastAsia" w:hAnsiTheme="minorEastAsia" w:eastAsiaTheme="minorEastAsia"/>
                <w:sz w:val="18"/>
                <w:szCs w:val="18"/>
              </w:rPr>
              <w:t xml:space="preserve">34: </w:t>
            </w:r>
            <w:r>
              <w:rPr>
                <w:rFonts w:hint="eastAsia" w:asciiTheme="minorEastAsia" w:hAnsiTheme="minorEastAsia" w:eastAsiaTheme="minorEastAsia"/>
                <w:sz w:val="18"/>
                <w:szCs w:val="18"/>
              </w:rPr>
              <w:t>＜</w:t>
            </w:r>
            <w:r>
              <w:rPr>
                <w:rFonts w:asciiTheme="minorEastAsia" w:hAnsiTheme="minorEastAsia" w:eastAsiaTheme="minorEastAsia"/>
                <w:sz w:val="18"/>
                <w:szCs w:val="18"/>
              </w:rPr>
              <w:t>-96.3dBm</w:t>
            </w:r>
          </w:p>
          <w:p w14:paraId="4AD6FB67">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B</w:t>
            </w:r>
            <w:r>
              <w:rPr>
                <w:rFonts w:asciiTheme="minorEastAsia" w:hAnsiTheme="minorEastAsia" w:eastAsiaTheme="minorEastAsia"/>
                <w:sz w:val="18"/>
                <w:szCs w:val="18"/>
              </w:rPr>
              <w:t xml:space="preserve">38: </w:t>
            </w:r>
            <w:r>
              <w:rPr>
                <w:rFonts w:hint="eastAsia" w:asciiTheme="minorEastAsia" w:hAnsiTheme="minorEastAsia" w:eastAsiaTheme="minorEastAsia"/>
                <w:sz w:val="18"/>
                <w:szCs w:val="18"/>
              </w:rPr>
              <w:t>＜</w:t>
            </w:r>
            <w:r>
              <w:rPr>
                <w:rFonts w:asciiTheme="minorEastAsia" w:hAnsiTheme="minorEastAsia" w:eastAsiaTheme="minorEastAsia"/>
                <w:sz w:val="18"/>
                <w:szCs w:val="18"/>
              </w:rPr>
              <w:t>-96.3dBm</w:t>
            </w:r>
          </w:p>
          <w:p w14:paraId="347784F5">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B</w:t>
            </w:r>
            <w:r>
              <w:rPr>
                <w:rFonts w:asciiTheme="minorEastAsia" w:hAnsiTheme="minorEastAsia" w:eastAsiaTheme="minorEastAsia"/>
                <w:sz w:val="18"/>
                <w:szCs w:val="18"/>
              </w:rPr>
              <w:t xml:space="preserve">39: </w:t>
            </w:r>
            <w:r>
              <w:rPr>
                <w:rFonts w:hint="eastAsia" w:asciiTheme="minorEastAsia" w:hAnsiTheme="minorEastAsia" w:eastAsiaTheme="minorEastAsia"/>
                <w:sz w:val="18"/>
                <w:szCs w:val="18"/>
              </w:rPr>
              <w:t>＜</w:t>
            </w:r>
            <w:r>
              <w:rPr>
                <w:rFonts w:asciiTheme="minorEastAsia" w:hAnsiTheme="minorEastAsia" w:eastAsiaTheme="minorEastAsia"/>
                <w:sz w:val="18"/>
                <w:szCs w:val="18"/>
              </w:rPr>
              <w:t>-96.3dBm</w:t>
            </w:r>
          </w:p>
          <w:p w14:paraId="683487C3">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B</w:t>
            </w:r>
            <w:r>
              <w:rPr>
                <w:rFonts w:asciiTheme="minorEastAsia" w:hAnsiTheme="minorEastAsia" w:eastAsiaTheme="minorEastAsia"/>
                <w:sz w:val="18"/>
                <w:szCs w:val="18"/>
              </w:rPr>
              <w:t xml:space="preserve">40: </w:t>
            </w:r>
            <w:r>
              <w:rPr>
                <w:rFonts w:hint="eastAsia" w:asciiTheme="minorEastAsia" w:hAnsiTheme="minorEastAsia" w:eastAsiaTheme="minorEastAsia"/>
                <w:sz w:val="18"/>
                <w:szCs w:val="18"/>
              </w:rPr>
              <w:t>＜</w:t>
            </w:r>
            <w:r>
              <w:rPr>
                <w:rFonts w:asciiTheme="minorEastAsia" w:hAnsiTheme="minorEastAsia" w:eastAsiaTheme="minorEastAsia"/>
                <w:sz w:val="18"/>
                <w:szCs w:val="18"/>
              </w:rPr>
              <w:t>-96.3dBm</w:t>
            </w:r>
          </w:p>
          <w:p w14:paraId="42493F19">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B</w:t>
            </w:r>
            <w:r>
              <w:rPr>
                <w:rFonts w:asciiTheme="minorEastAsia" w:hAnsiTheme="minorEastAsia" w:eastAsiaTheme="minorEastAsia"/>
                <w:sz w:val="18"/>
                <w:szCs w:val="18"/>
              </w:rPr>
              <w:t xml:space="preserve">41: </w:t>
            </w:r>
            <w:r>
              <w:rPr>
                <w:rFonts w:hint="eastAsia" w:asciiTheme="minorEastAsia" w:hAnsiTheme="minorEastAsia" w:eastAsiaTheme="minorEastAsia"/>
                <w:sz w:val="18"/>
                <w:szCs w:val="18"/>
              </w:rPr>
              <w:t>＜</w:t>
            </w:r>
            <w:r>
              <w:rPr>
                <w:rFonts w:asciiTheme="minorEastAsia" w:hAnsiTheme="minorEastAsia" w:eastAsiaTheme="minorEastAsia"/>
                <w:sz w:val="18"/>
                <w:szCs w:val="18"/>
              </w:rPr>
              <w:t>-94.3dBm</w:t>
            </w:r>
          </w:p>
          <w:p w14:paraId="0F067435">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以上均为</w:t>
            </w:r>
            <w:r>
              <w:rPr>
                <w:rFonts w:asciiTheme="minorEastAsia" w:hAnsiTheme="minorEastAsia" w:eastAsiaTheme="minorEastAsia"/>
                <w:sz w:val="18"/>
                <w:szCs w:val="18"/>
              </w:rPr>
              <w:t>10M带宽下QPSK方式单天线参数</w:t>
            </w:r>
          </w:p>
        </w:tc>
        <w:tc>
          <w:tcPr>
            <w:tcW w:w="1217" w:type="pct"/>
            <w:gridSpan w:val="2"/>
            <w:vAlign w:val="center"/>
          </w:tcPr>
          <w:p w14:paraId="05A4CBBB">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B</w:t>
            </w:r>
            <w:r>
              <w:rPr>
                <w:rFonts w:asciiTheme="minorEastAsia" w:hAnsiTheme="minorEastAsia" w:eastAsiaTheme="minorEastAsia"/>
                <w:sz w:val="18"/>
                <w:szCs w:val="18"/>
              </w:rPr>
              <w:t xml:space="preserve">1: </w:t>
            </w:r>
            <w:r>
              <w:rPr>
                <w:rFonts w:hint="eastAsia" w:asciiTheme="minorEastAsia" w:hAnsiTheme="minorEastAsia" w:eastAsiaTheme="minorEastAsia"/>
                <w:sz w:val="18"/>
                <w:szCs w:val="18"/>
              </w:rPr>
              <w:t>＜</w:t>
            </w:r>
            <w:r>
              <w:rPr>
                <w:rFonts w:asciiTheme="minorEastAsia" w:hAnsiTheme="minorEastAsia" w:eastAsiaTheme="minorEastAsia"/>
                <w:sz w:val="18"/>
                <w:szCs w:val="18"/>
              </w:rPr>
              <w:t>-96.3dBm</w:t>
            </w:r>
          </w:p>
          <w:p w14:paraId="1E287A6F">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B</w:t>
            </w:r>
            <w:r>
              <w:rPr>
                <w:rFonts w:asciiTheme="minorEastAsia" w:hAnsiTheme="minorEastAsia" w:eastAsiaTheme="minorEastAsia"/>
                <w:sz w:val="18"/>
                <w:szCs w:val="18"/>
              </w:rPr>
              <w:t xml:space="preserve">3: </w:t>
            </w:r>
            <w:r>
              <w:rPr>
                <w:rFonts w:hint="eastAsia" w:asciiTheme="minorEastAsia" w:hAnsiTheme="minorEastAsia" w:eastAsiaTheme="minorEastAsia"/>
                <w:sz w:val="18"/>
                <w:szCs w:val="18"/>
              </w:rPr>
              <w:t>＜</w:t>
            </w:r>
            <w:r>
              <w:rPr>
                <w:rFonts w:asciiTheme="minorEastAsia" w:hAnsiTheme="minorEastAsia" w:eastAsiaTheme="minorEastAsia"/>
                <w:sz w:val="18"/>
                <w:szCs w:val="18"/>
              </w:rPr>
              <w:t>-93.3dBm</w:t>
            </w:r>
          </w:p>
          <w:p w14:paraId="11EDC254">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B</w:t>
            </w:r>
            <w:r>
              <w:rPr>
                <w:rFonts w:asciiTheme="minorEastAsia" w:hAnsiTheme="minorEastAsia" w:eastAsiaTheme="minorEastAsia"/>
                <w:sz w:val="18"/>
                <w:szCs w:val="18"/>
              </w:rPr>
              <w:t xml:space="preserve">5: </w:t>
            </w:r>
            <w:r>
              <w:rPr>
                <w:rFonts w:hint="eastAsia" w:asciiTheme="minorEastAsia" w:hAnsiTheme="minorEastAsia" w:eastAsiaTheme="minorEastAsia"/>
                <w:sz w:val="18"/>
                <w:szCs w:val="18"/>
              </w:rPr>
              <w:t>＜</w:t>
            </w:r>
            <w:r>
              <w:rPr>
                <w:rFonts w:asciiTheme="minorEastAsia" w:hAnsiTheme="minorEastAsia" w:eastAsiaTheme="minorEastAsia"/>
                <w:sz w:val="18"/>
                <w:szCs w:val="18"/>
              </w:rPr>
              <w:t>-94.3dBm</w:t>
            </w:r>
          </w:p>
          <w:p w14:paraId="6944C75C">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B</w:t>
            </w:r>
            <w:r>
              <w:rPr>
                <w:rFonts w:asciiTheme="minorEastAsia" w:hAnsiTheme="minorEastAsia" w:eastAsiaTheme="minorEastAsia"/>
                <w:sz w:val="18"/>
                <w:szCs w:val="18"/>
              </w:rPr>
              <w:t xml:space="preserve">8: </w:t>
            </w:r>
            <w:r>
              <w:rPr>
                <w:rFonts w:hint="eastAsia" w:asciiTheme="minorEastAsia" w:hAnsiTheme="minorEastAsia" w:eastAsiaTheme="minorEastAsia"/>
                <w:sz w:val="18"/>
                <w:szCs w:val="18"/>
              </w:rPr>
              <w:t>＜</w:t>
            </w:r>
            <w:r>
              <w:rPr>
                <w:rFonts w:asciiTheme="minorEastAsia" w:hAnsiTheme="minorEastAsia" w:eastAsiaTheme="minorEastAsia"/>
                <w:sz w:val="18"/>
                <w:szCs w:val="18"/>
              </w:rPr>
              <w:t>-93.3dBm</w:t>
            </w:r>
          </w:p>
          <w:p w14:paraId="0EA11321">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以上均为</w:t>
            </w:r>
            <w:r>
              <w:rPr>
                <w:rFonts w:asciiTheme="minorEastAsia" w:hAnsiTheme="minorEastAsia" w:eastAsiaTheme="minorEastAsia"/>
                <w:sz w:val="18"/>
                <w:szCs w:val="18"/>
              </w:rPr>
              <w:t>10M带宽下QPSK方式单天线参数</w:t>
            </w:r>
          </w:p>
        </w:tc>
        <w:tc>
          <w:tcPr>
            <w:tcW w:w="1292" w:type="pct"/>
            <w:gridSpan w:val="2"/>
            <w:vAlign w:val="center"/>
          </w:tcPr>
          <w:p w14:paraId="54679262">
            <w:pPr>
              <w:jc w:val="center"/>
              <w:rPr>
                <w:rFonts w:asciiTheme="minorEastAsia" w:hAnsiTheme="minorEastAsia" w:eastAsiaTheme="minorEastAsia"/>
                <w:sz w:val="18"/>
                <w:szCs w:val="18"/>
              </w:rPr>
            </w:pPr>
            <w:r>
              <w:rPr>
                <w:rFonts w:asciiTheme="minorEastAsia" w:hAnsiTheme="minorEastAsia" w:eastAsiaTheme="minorEastAsia"/>
                <w:sz w:val="18"/>
                <w:szCs w:val="18"/>
              </w:rPr>
              <w:t xml:space="preserve">N41:2 </w:t>
            </w:r>
            <w:r>
              <w:rPr>
                <w:rFonts w:hint="eastAsia" w:asciiTheme="minorEastAsia" w:hAnsiTheme="minorEastAsia" w:eastAsiaTheme="minorEastAsia"/>
                <w:sz w:val="18"/>
                <w:szCs w:val="18"/>
              </w:rPr>
              <w:t>天线</w:t>
            </w:r>
            <w:r>
              <w:rPr>
                <w:rFonts w:asciiTheme="minorEastAsia" w:hAnsiTheme="minorEastAsia" w:eastAsiaTheme="minorEastAsia"/>
                <w:sz w:val="18"/>
                <w:szCs w:val="18"/>
              </w:rPr>
              <w:t xml:space="preserve"> 10MHz/30kHz SCS </w:t>
            </w:r>
            <w:r>
              <w:rPr>
                <w:rFonts w:hint="eastAsia" w:asciiTheme="minorEastAsia" w:hAnsiTheme="minorEastAsia" w:eastAsiaTheme="minorEastAsia"/>
                <w:sz w:val="18"/>
                <w:szCs w:val="18"/>
              </w:rPr>
              <w:t>＜</w:t>
            </w:r>
            <w:r>
              <w:rPr>
                <w:rFonts w:asciiTheme="minorEastAsia" w:hAnsiTheme="minorEastAsia" w:eastAsiaTheme="minorEastAsia"/>
                <w:sz w:val="18"/>
                <w:szCs w:val="18"/>
              </w:rPr>
              <w:t>-95.1dBm</w:t>
            </w:r>
          </w:p>
          <w:p w14:paraId="246798B0">
            <w:pPr>
              <w:jc w:val="center"/>
              <w:rPr>
                <w:rFonts w:asciiTheme="minorEastAsia" w:hAnsiTheme="minorEastAsia" w:eastAsiaTheme="minorEastAsia"/>
                <w:sz w:val="18"/>
                <w:szCs w:val="18"/>
              </w:rPr>
            </w:pPr>
            <w:r>
              <w:rPr>
                <w:rFonts w:asciiTheme="minorEastAsia" w:hAnsiTheme="minorEastAsia" w:eastAsiaTheme="minorEastAsia"/>
                <w:sz w:val="18"/>
                <w:szCs w:val="18"/>
              </w:rPr>
              <w:t xml:space="preserve">N78:2 </w:t>
            </w:r>
            <w:r>
              <w:rPr>
                <w:rFonts w:hint="eastAsia" w:asciiTheme="minorEastAsia" w:hAnsiTheme="minorEastAsia" w:eastAsiaTheme="minorEastAsia"/>
                <w:sz w:val="18"/>
                <w:szCs w:val="18"/>
              </w:rPr>
              <w:t>天线</w:t>
            </w:r>
            <w:r>
              <w:rPr>
                <w:rFonts w:asciiTheme="minorEastAsia" w:hAnsiTheme="minorEastAsia" w:eastAsiaTheme="minorEastAsia"/>
                <w:sz w:val="18"/>
                <w:szCs w:val="18"/>
              </w:rPr>
              <w:t xml:space="preserve"> 10MHz/30kHz SCS </w:t>
            </w:r>
            <w:r>
              <w:rPr>
                <w:rFonts w:hint="eastAsia" w:asciiTheme="minorEastAsia" w:hAnsiTheme="minorEastAsia" w:eastAsiaTheme="minorEastAsia"/>
                <w:sz w:val="18"/>
                <w:szCs w:val="18"/>
              </w:rPr>
              <w:t>＜</w:t>
            </w:r>
            <w:r>
              <w:rPr>
                <w:rFonts w:asciiTheme="minorEastAsia" w:hAnsiTheme="minorEastAsia" w:eastAsiaTheme="minorEastAsia"/>
                <w:sz w:val="18"/>
                <w:szCs w:val="18"/>
              </w:rPr>
              <w:t>-96.1dBm</w:t>
            </w:r>
          </w:p>
          <w:p w14:paraId="35595EAC">
            <w:pPr>
              <w:jc w:val="center"/>
              <w:rPr>
                <w:rFonts w:asciiTheme="minorEastAsia" w:hAnsiTheme="minorEastAsia" w:eastAsiaTheme="minorEastAsia"/>
                <w:sz w:val="18"/>
                <w:szCs w:val="18"/>
              </w:rPr>
            </w:pPr>
            <w:r>
              <w:rPr>
                <w:rFonts w:asciiTheme="minorEastAsia" w:hAnsiTheme="minorEastAsia" w:eastAsiaTheme="minorEastAsia"/>
                <w:sz w:val="18"/>
                <w:szCs w:val="18"/>
              </w:rPr>
              <w:t xml:space="preserve">N79:2 </w:t>
            </w:r>
            <w:r>
              <w:rPr>
                <w:rFonts w:hint="eastAsia" w:asciiTheme="minorEastAsia" w:hAnsiTheme="minorEastAsia" w:eastAsiaTheme="minorEastAsia"/>
                <w:sz w:val="18"/>
                <w:szCs w:val="18"/>
              </w:rPr>
              <w:t>天线</w:t>
            </w:r>
            <w:r>
              <w:rPr>
                <w:rFonts w:asciiTheme="minorEastAsia" w:hAnsiTheme="minorEastAsia" w:eastAsiaTheme="minorEastAsia"/>
                <w:sz w:val="18"/>
                <w:szCs w:val="18"/>
              </w:rPr>
              <w:t xml:space="preserve"> 40MHz/30kHz SCS </w:t>
            </w:r>
            <w:r>
              <w:rPr>
                <w:rFonts w:hint="eastAsia" w:asciiTheme="minorEastAsia" w:hAnsiTheme="minorEastAsia" w:eastAsiaTheme="minorEastAsia"/>
                <w:sz w:val="18"/>
                <w:szCs w:val="18"/>
              </w:rPr>
              <w:t>＜</w:t>
            </w:r>
            <w:r>
              <w:rPr>
                <w:rFonts w:asciiTheme="minorEastAsia" w:hAnsiTheme="minorEastAsia" w:eastAsiaTheme="minorEastAsia"/>
                <w:sz w:val="18"/>
                <w:szCs w:val="18"/>
              </w:rPr>
              <w:t>-89.7dBm</w:t>
            </w:r>
          </w:p>
        </w:tc>
        <w:tc>
          <w:tcPr>
            <w:tcW w:w="989" w:type="pct"/>
            <w:gridSpan w:val="2"/>
            <w:vAlign w:val="center"/>
          </w:tcPr>
          <w:p w14:paraId="4091B1F1">
            <w:pPr>
              <w:jc w:val="center"/>
              <w:rPr>
                <w:rFonts w:asciiTheme="minorEastAsia" w:hAnsiTheme="minorEastAsia" w:eastAsiaTheme="minorEastAsia"/>
                <w:sz w:val="18"/>
                <w:szCs w:val="18"/>
              </w:rPr>
            </w:pPr>
            <w:r>
              <w:rPr>
                <w:rFonts w:asciiTheme="minorEastAsia" w:hAnsiTheme="minorEastAsia" w:eastAsiaTheme="minorEastAsia"/>
                <w:sz w:val="18"/>
                <w:szCs w:val="18"/>
              </w:rPr>
              <w:t xml:space="preserve">2 </w:t>
            </w:r>
            <w:r>
              <w:rPr>
                <w:rFonts w:hint="eastAsia" w:asciiTheme="minorEastAsia" w:hAnsiTheme="minorEastAsia" w:eastAsiaTheme="minorEastAsia"/>
                <w:sz w:val="18"/>
                <w:szCs w:val="18"/>
              </w:rPr>
              <w:t>天线</w:t>
            </w:r>
            <w:r>
              <w:rPr>
                <w:rFonts w:asciiTheme="minorEastAsia" w:hAnsiTheme="minorEastAsia" w:eastAsiaTheme="minorEastAsia"/>
                <w:sz w:val="18"/>
                <w:szCs w:val="18"/>
              </w:rPr>
              <w:t xml:space="preserve"> 10MHz/30kHz SCS </w:t>
            </w:r>
            <w:r>
              <w:rPr>
                <w:rFonts w:hint="eastAsia" w:asciiTheme="minorEastAsia" w:hAnsiTheme="minorEastAsia" w:eastAsiaTheme="minorEastAsia"/>
                <w:sz w:val="18"/>
                <w:szCs w:val="18"/>
              </w:rPr>
              <w:t>＜</w:t>
            </w:r>
            <w:r>
              <w:rPr>
                <w:rFonts w:asciiTheme="minorEastAsia" w:hAnsiTheme="minorEastAsia" w:eastAsiaTheme="minorEastAsia"/>
                <w:sz w:val="18"/>
                <w:szCs w:val="18"/>
              </w:rPr>
              <w:t>-97.1dBm</w:t>
            </w:r>
          </w:p>
        </w:tc>
      </w:tr>
    </w:tbl>
    <w:p w14:paraId="13D108C9">
      <w:pPr>
        <w:pStyle w:val="41"/>
      </w:pPr>
    </w:p>
    <w:p w14:paraId="554ABC11">
      <w:pPr>
        <w:pStyle w:val="34"/>
        <w:numPr>
          <w:ilvl w:val="1"/>
          <w:numId w:val="14"/>
        </w:numPr>
        <w:spacing w:before="156" w:after="156"/>
      </w:pPr>
      <w:bookmarkStart w:id="141" w:name="_Toc164421263"/>
      <w:r>
        <w:rPr>
          <w:rFonts w:hint="eastAsia"/>
        </w:rPr>
        <w:t>功能要求</w:t>
      </w:r>
      <w:bookmarkEnd w:id="140"/>
      <w:bookmarkEnd w:id="141"/>
    </w:p>
    <w:p w14:paraId="2F1DC918">
      <w:pPr>
        <w:pStyle w:val="36"/>
        <w:numPr>
          <w:ilvl w:val="2"/>
          <w:numId w:val="14"/>
        </w:numPr>
        <w:spacing w:before="156" w:after="156"/>
        <w:rPr>
          <w:rFonts w:hAnsi="黑体"/>
        </w:rPr>
      </w:pPr>
      <w:r>
        <w:rPr>
          <w:rFonts w:hint="eastAsia"/>
        </w:rPr>
        <w:t>定位能力</w:t>
      </w:r>
    </w:p>
    <w:p w14:paraId="24B86D4B">
      <w:pPr>
        <w:pStyle w:val="41"/>
        <w:rPr>
          <w:szCs w:val="22"/>
        </w:rPr>
      </w:pPr>
      <w:r>
        <w:rPr>
          <w:rFonts w:hint="eastAsia"/>
          <w:szCs w:val="22"/>
        </w:rPr>
        <w:t>支持精密单点定位。</w:t>
      </w:r>
    </w:p>
    <w:p w14:paraId="5245AC57">
      <w:pPr>
        <w:pStyle w:val="36"/>
        <w:numPr>
          <w:ilvl w:val="2"/>
          <w:numId w:val="14"/>
        </w:numPr>
        <w:spacing w:before="156" w:after="156"/>
        <w:rPr>
          <w:rFonts w:hAnsi="黑体"/>
        </w:rPr>
      </w:pPr>
      <w:r>
        <w:rPr>
          <w:rFonts w:hint="eastAsia"/>
        </w:rPr>
        <w:t>授时能力</w:t>
      </w:r>
    </w:p>
    <w:p w14:paraId="55F15421">
      <w:pPr>
        <w:pStyle w:val="41"/>
      </w:pPr>
      <w:r>
        <w:rPr>
          <w:rFonts w:hint="eastAsia"/>
        </w:rPr>
        <w:t>支持接收卫星信号</w:t>
      </w:r>
      <w:r>
        <w:t>,输出UTC的功能</w:t>
      </w:r>
      <w:r>
        <w:rPr>
          <w:rFonts w:hint="eastAsia"/>
        </w:rPr>
        <w:t>。</w:t>
      </w:r>
    </w:p>
    <w:p w14:paraId="26355D9E">
      <w:pPr>
        <w:pStyle w:val="36"/>
        <w:numPr>
          <w:ilvl w:val="2"/>
          <w:numId w:val="9"/>
        </w:numPr>
        <w:spacing w:before="156" w:after="156"/>
        <w:rPr>
          <w:rFonts w:hAnsi="黑体"/>
        </w:rPr>
      </w:pPr>
      <w:r>
        <w:rPr>
          <w:rFonts w:hint="eastAsia"/>
        </w:rPr>
        <w:t>热插拔</w:t>
      </w:r>
    </w:p>
    <w:p w14:paraId="685531E4">
      <w:pPr>
        <w:pStyle w:val="41"/>
      </w:pPr>
      <w:r>
        <w:t>具备热插拔功能，热插拔时不应损坏。</w:t>
      </w:r>
    </w:p>
    <w:p w14:paraId="2767DA36">
      <w:pPr>
        <w:pStyle w:val="36"/>
        <w:numPr>
          <w:ilvl w:val="2"/>
          <w:numId w:val="9"/>
        </w:numPr>
        <w:spacing w:before="156" w:after="156"/>
      </w:pPr>
      <w:r>
        <w:rPr>
          <w:rFonts w:hint="eastAsia"/>
        </w:rPr>
        <w:t>在线升级</w:t>
      </w:r>
    </w:p>
    <w:p w14:paraId="562B100C">
      <w:pPr>
        <w:pStyle w:val="41"/>
      </w:pPr>
      <w:r>
        <w:rPr>
          <w:rFonts w:hint="eastAsia"/>
        </w:rPr>
        <w:t>支持通过终端下发指令完成在线升级，升级过程中不影响通信单元正常工作，升级完成后可自行切换至新版本运行，支持</w:t>
      </w:r>
      <w:r>
        <w:t>FOTA升级。</w:t>
      </w:r>
    </w:p>
    <w:p w14:paraId="4D1392AC">
      <w:pPr>
        <w:pStyle w:val="36"/>
        <w:numPr>
          <w:ilvl w:val="2"/>
          <w:numId w:val="9"/>
        </w:numPr>
        <w:spacing w:before="156" w:after="156"/>
        <w:rPr>
          <w:rFonts w:hAnsi="黑体"/>
        </w:rPr>
      </w:pPr>
      <w:bookmarkStart w:id="142" w:name="_Hlk161048769"/>
      <w:r>
        <w:rPr>
          <w:rFonts w:hint="eastAsia"/>
        </w:rPr>
        <w:t>定位数据传输链路</w:t>
      </w:r>
    </w:p>
    <w:bookmarkEnd w:id="142"/>
    <w:p w14:paraId="02EEA30F">
      <w:pPr>
        <w:pStyle w:val="41"/>
        <w:rPr>
          <w:szCs w:val="21"/>
        </w:rPr>
      </w:pPr>
      <w:r>
        <w:rPr>
          <w:rFonts w:hint="eastAsia"/>
          <w:szCs w:val="21"/>
        </w:rPr>
        <w:t>主站通过</w:t>
      </w:r>
      <w:r>
        <w:rPr>
          <w:szCs w:val="21"/>
        </w:rPr>
        <w:t>DL/T698.45</w:t>
      </w:r>
      <w:r>
        <w:rPr>
          <w:rFonts w:hint="eastAsia"/>
          <w:szCs w:val="21"/>
        </w:rPr>
        <w:t>下发召测指令至采集终端，采集终端通过</w:t>
      </w:r>
      <w:r>
        <w:rPr>
          <w:szCs w:val="21"/>
        </w:rPr>
        <w:t>T/CIMA0092</w:t>
      </w:r>
      <w:r>
        <w:rPr>
          <w:rFonts w:hint="eastAsia"/>
          <w:szCs w:val="21"/>
        </w:rPr>
        <w:t>.</w:t>
      </w:r>
      <w:r>
        <w:rPr>
          <w:szCs w:val="21"/>
        </w:rPr>
        <w:t>2-2024</w:t>
      </w:r>
      <w:r>
        <w:rPr>
          <w:rFonts w:hint="eastAsia"/>
          <w:szCs w:val="21"/>
        </w:rPr>
        <w:t>协议下发召测指令至远程通信单元，远程通信单元</w:t>
      </w:r>
      <w:r>
        <w:rPr>
          <w:szCs w:val="21"/>
        </w:rPr>
        <w:t>将</w:t>
      </w:r>
      <w:r>
        <w:rPr>
          <w:rFonts w:hint="eastAsia"/>
          <w:szCs w:val="21"/>
        </w:rPr>
        <w:t>定位数据、模组ID信息</w:t>
      </w:r>
      <w:r>
        <w:rPr>
          <w:szCs w:val="21"/>
        </w:rPr>
        <w:t>按照T/CIMA0092</w:t>
      </w:r>
      <w:r>
        <w:rPr>
          <w:rFonts w:hint="eastAsia"/>
          <w:szCs w:val="21"/>
        </w:rPr>
        <w:t>.</w:t>
      </w:r>
      <w:r>
        <w:rPr>
          <w:szCs w:val="21"/>
        </w:rPr>
        <w:t>2-2024</w:t>
      </w:r>
      <w:r>
        <w:rPr>
          <w:rFonts w:hint="eastAsia"/>
          <w:szCs w:val="21"/>
        </w:rPr>
        <w:t>协议要求传输给采集终端，采集终端按照</w:t>
      </w:r>
      <w:r>
        <w:rPr>
          <w:szCs w:val="21"/>
        </w:rPr>
        <w:t>DL/T698.45</w:t>
      </w:r>
      <w:r>
        <w:rPr>
          <w:rFonts w:hint="eastAsia"/>
          <w:szCs w:val="21"/>
        </w:rPr>
        <w:t>协议封装后将其发送给主站</w:t>
      </w:r>
      <w:r>
        <w:rPr>
          <w:rFonts w:hint="eastAsia"/>
        </w:rPr>
        <w:t>，见图1链路描述。</w:t>
      </w:r>
    </w:p>
    <w:p w14:paraId="17F2305F">
      <w:pPr>
        <w:pStyle w:val="56"/>
        <w:ind w:firstLine="0" w:firstLineChars="0"/>
        <w:jc w:val="center"/>
        <w:rPr>
          <w:highlight w:val="yellow"/>
        </w:rPr>
      </w:pPr>
      <w:r>
        <w:drawing>
          <wp:inline distT="0" distB="0" distL="0" distR="0">
            <wp:extent cx="5254625" cy="2037715"/>
            <wp:effectExtent l="0" t="0" r="0" b="0"/>
            <wp:docPr id="7" name="图片 7" descr="C:\Users\pdjc\Documents\WeChat Files\wxid_4331193311622\FileStorage\Temp\7bbf0bc60f079577594983fea7b896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pdjc\Documents\WeChat Files\wxid_4331193311622\FileStorage\Temp\7bbf0bc60f079577594983fea7b896c.png"/>
                    <pic:cNvPicPr>
                      <a:picLocks noChangeAspect="1" noChangeArrowheads="1"/>
                    </pic:cNvPicPr>
                  </pic:nvPicPr>
                  <pic:blipFill>
                    <a:blip r:embed="rId13"/>
                    <a:srcRect/>
                    <a:stretch>
                      <a:fillRect/>
                    </a:stretch>
                  </pic:blipFill>
                  <pic:spPr>
                    <a:xfrm>
                      <a:off x="0" y="0"/>
                      <a:ext cx="5266286" cy="2042188"/>
                    </a:xfrm>
                    <a:prstGeom prst="rect">
                      <a:avLst/>
                    </a:prstGeom>
                    <a:noFill/>
                    <a:ln w="9525">
                      <a:noFill/>
                      <a:miter lim="800000"/>
                      <a:headEnd/>
                      <a:tailEnd/>
                    </a:ln>
                  </pic:spPr>
                </pic:pic>
              </a:graphicData>
            </a:graphic>
          </wp:inline>
        </w:drawing>
      </w:r>
    </w:p>
    <w:p w14:paraId="41366FA6">
      <w:pPr>
        <w:pStyle w:val="7"/>
        <w:jc w:val="center"/>
        <w:rPr>
          <w:szCs w:val="21"/>
        </w:rPr>
      </w:pPr>
      <w:r>
        <w:rPr>
          <w:rFonts w:hint="eastAsia"/>
        </w:rPr>
        <w:t>图</w:t>
      </w:r>
      <w:r>
        <w:fldChar w:fldCharType="begin"/>
      </w:r>
      <w:r>
        <w:rPr>
          <w:rFonts w:hint="eastAsia"/>
        </w:rPr>
        <w:instrText xml:space="preserve">SEQ 图 \* ARABIC</w:instrText>
      </w:r>
      <w:r>
        <w:fldChar w:fldCharType="separate"/>
      </w:r>
      <w:r>
        <w:t>1</w:t>
      </w:r>
      <w:r>
        <w:fldChar w:fldCharType="end"/>
      </w:r>
      <w:r>
        <w:rPr>
          <w:rFonts w:hint="eastAsia"/>
        </w:rPr>
        <w:t>定位数据传输链路</w:t>
      </w:r>
    </w:p>
    <w:p w14:paraId="60661A8E">
      <w:pPr>
        <w:pStyle w:val="36"/>
        <w:numPr>
          <w:ilvl w:val="2"/>
          <w:numId w:val="9"/>
        </w:numPr>
        <w:spacing w:before="156" w:after="156"/>
      </w:pPr>
      <w:r>
        <w:rPr>
          <w:rFonts w:hint="eastAsia"/>
        </w:rPr>
        <w:t>模组</w:t>
      </w:r>
      <w:r>
        <w:t>ID</w:t>
      </w:r>
    </w:p>
    <w:p w14:paraId="48159EF7">
      <w:pPr>
        <w:pStyle w:val="41"/>
      </w:pPr>
      <w:r>
        <w:rPr>
          <w:rFonts w:hint="eastAsia"/>
        </w:rPr>
        <w:t>通信单元所用</w:t>
      </w:r>
      <w:r>
        <w:rPr>
          <w:szCs w:val="21"/>
        </w:rPr>
        <w:t>定位</w:t>
      </w:r>
      <w:r>
        <w:rPr>
          <w:rFonts w:hint="eastAsia"/>
          <w:szCs w:val="21"/>
        </w:rPr>
        <w:t>模组应具有第三方权威机构</w:t>
      </w:r>
      <w:r>
        <w:rPr>
          <w:rFonts w:hint="eastAsia"/>
        </w:rPr>
        <w:t>发放的唯一</w:t>
      </w:r>
      <w:r>
        <w:t>ID信息，在生产过程写入，永久不变。</w:t>
      </w:r>
    </w:p>
    <w:p w14:paraId="00803A5C">
      <w:pPr>
        <w:pStyle w:val="36"/>
        <w:numPr>
          <w:ilvl w:val="2"/>
          <w:numId w:val="9"/>
        </w:numPr>
        <w:spacing w:before="156" w:after="156"/>
      </w:pPr>
      <w:r>
        <w:rPr>
          <w:rFonts w:hint="eastAsia"/>
        </w:rPr>
        <w:t>互换性要求</w:t>
      </w:r>
    </w:p>
    <w:p w14:paraId="524B799E">
      <w:pPr>
        <w:pStyle w:val="41"/>
      </w:pPr>
      <w:r>
        <w:rPr>
          <w:rFonts w:hint="eastAsia"/>
        </w:rPr>
        <w:t>通信单元应符合型式规范和接口要求的终端相匹配，满足</w:t>
      </w:r>
      <w:r>
        <w:rPr>
          <w:szCs w:val="21"/>
        </w:rPr>
        <w:t>T/CIMA0092</w:t>
      </w:r>
      <w:r>
        <w:rPr>
          <w:rFonts w:hint="eastAsia"/>
          <w:szCs w:val="21"/>
        </w:rPr>
        <w:t>.2</w:t>
      </w:r>
      <w:r>
        <w:rPr>
          <w:szCs w:val="21"/>
        </w:rPr>
        <w:t>-2024</w:t>
      </w:r>
      <w:r>
        <w:rPr>
          <w:rFonts w:hint="eastAsia"/>
          <w:szCs w:val="21"/>
        </w:rPr>
        <w:t>、</w:t>
      </w:r>
      <w:r>
        <w:rPr>
          <w:szCs w:val="21"/>
        </w:rPr>
        <w:t>T/CIMA0092</w:t>
      </w:r>
      <w:r>
        <w:rPr>
          <w:rFonts w:hint="eastAsia"/>
          <w:szCs w:val="21"/>
        </w:rPr>
        <w:t>.3</w:t>
      </w:r>
      <w:r>
        <w:rPr>
          <w:szCs w:val="21"/>
        </w:rPr>
        <w:t>-2024</w:t>
      </w:r>
      <w:r>
        <w:rPr>
          <w:rFonts w:hint="eastAsia"/>
          <w:szCs w:val="21"/>
        </w:rPr>
        <w:t>的</w:t>
      </w:r>
      <w:r>
        <w:rPr>
          <w:rFonts w:hint="eastAsia"/>
        </w:rPr>
        <w:t>要求。</w:t>
      </w:r>
    </w:p>
    <w:p w14:paraId="348583F5">
      <w:pPr>
        <w:pStyle w:val="35"/>
        <w:numPr>
          <w:ilvl w:val="0"/>
          <w:numId w:val="9"/>
        </w:numPr>
        <w:spacing w:before="312" w:after="312"/>
      </w:pPr>
      <w:bookmarkStart w:id="143" w:name="_Toc164421264"/>
      <w:bookmarkStart w:id="144" w:name="_Toc30220"/>
      <w:r>
        <w:rPr>
          <w:rFonts w:hint="eastAsia"/>
        </w:rPr>
        <w:t>试验方法</w:t>
      </w:r>
      <w:bookmarkEnd w:id="143"/>
      <w:bookmarkEnd w:id="144"/>
    </w:p>
    <w:p w14:paraId="01241FFB">
      <w:pPr>
        <w:pStyle w:val="34"/>
        <w:numPr>
          <w:ilvl w:val="1"/>
          <w:numId w:val="9"/>
        </w:numPr>
        <w:spacing w:before="156" w:after="156"/>
      </w:pPr>
      <w:bookmarkStart w:id="145" w:name="_Toc164421265"/>
      <w:bookmarkStart w:id="146" w:name="_Toc30412"/>
      <w:r>
        <w:rPr>
          <w:rFonts w:hint="eastAsia"/>
        </w:rPr>
        <w:t>试验条件</w:t>
      </w:r>
      <w:bookmarkEnd w:id="145"/>
      <w:bookmarkEnd w:id="146"/>
    </w:p>
    <w:p w14:paraId="61EB88B8">
      <w:pPr>
        <w:pStyle w:val="36"/>
        <w:numPr>
          <w:ilvl w:val="2"/>
          <w:numId w:val="9"/>
        </w:numPr>
        <w:spacing w:before="156" w:after="156"/>
      </w:pPr>
      <w:r>
        <w:rPr>
          <w:rFonts w:hint="eastAsia"/>
        </w:rPr>
        <w:t>环境条件</w:t>
      </w:r>
    </w:p>
    <w:p w14:paraId="23E8DEF3">
      <w:pPr>
        <w:pStyle w:val="41"/>
      </w:pPr>
      <w:r>
        <w:rPr>
          <w:rFonts w:hint="eastAsia"/>
        </w:rPr>
        <w:t>除非另有规定，各项试验均在以下环境下进行，即</w:t>
      </w:r>
      <w:r>
        <w:t>:</w:t>
      </w:r>
    </w:p>
    <w:p w14:paraId="37BDE8FE">
      <w:pPr>
        <w:pStyle w:val="41"/>
      </w:pPr>
      <w:r>
        <w:t xml:space="preserve">a) </w:t>
      </w:r>
      <w:r>
        <w:rPr>
          <w:rFonts w:hint="eastAsia"/>
        </w:rPr>
        <w:t>温度</w:t>
      </w:r>
      <w:r>
        <w:t>:15</w:t>
      </w:r>
      <w:r>
        <w:rPr>
          <w:rFonts w:hint="eastAsia"/>
        </w:rPr>
        <w:t>℃</w:t>
      </w:r>
      <w:r>
        <w:t>～35</w:t>
      </w:r>
      <w:r>
        <w:rPr>
          <w:rFonts w:hint="eastAsia"/>
        </w:rPr>
        <w:t>℃；</w:t>
      </w:r>
    </w:p>
    <w:p w14:paraId="0BA03484">
      <w:pPr>
        <w:pStyle w:val="41"/>
      </w:pPr>
      <w:r>
        <w:t xml:space="preserve">b) </w:t>
      </w:r>
      <w:r>
        <w:rPr>
          <w:rFonts w:hint="eastAsia"/>
        </w:rPr>
        <w:t>相对湿度</w:t>
      </w:r>
      <w:r>
        <w:t>:25%～75%</w:t>
      </w:r>
      <w:r>
        <w:rPr>
          <w:rFonts w:hint="eastAsia"/>
        </w:rPr>
        <w:t>；</w:t>
      </w:r>
    </w:p>
    <w:p w14:paraId="1C0B5012">
      <w:pPr>
        <w:pStyle w:val="41"/>
      </w:pPr>
      <w:r>
        <w:t xml:space="preserve">c) </w:t>
      </w:r>
      <w:r>
        <w:rPr>
          <w:rFonts w:hint="eastAsia"/>
        </w:rPr>
        <w:t>大气压力</w:t>
      </w:r>
      <w:r>
        <w:t>:</w:t>
      </w:r>
      <w:r>
        <w:rPr>
          <w:rFonts w:hint="eastAsia"/>
        </w:rPr>
        <w:t xml:space="preserve"> 海拔</w:t>
      </w:r>
      <w:r>
        <w:t xml:space="preserve"> 4000m 及以下</w:t>
      </w:r>
      <w:r>
        <w:rPr>
          <w:rFonts w:hint="eastAsia"/>
        </w:rPr>
        <w:t>。</w:t>
      </w:r>
    </w:p>
    <w:p w14:paraId="790B8B24">
      <w:pPr>
        <w:pStyle w:val="41"/>
      </w:pPr>
      <w:r>
        <w:rPr>
          <w:rFonts w:hint="eastAsia"/>
        </w:rPr>
        <w:t>在每一项目的试验期间，大气环境条件应相对稳定。</w:t>
      </w:r>
    </w:p>
    <w:p w14:paraId="4AE5E4A8">
      <w:pPr>
        <w:pStyle w:val="36"/>
        <w:numPr>
          <w:ilvl w:val="2"/>
          <w:numId w:val="9"/>
        </w:numPr>
        <w:spacing w:before="156" w:after="156"/>
      </w:pPr>
      <w:r>
        <w:rPr>
          <w:rFonts w:hint="eastAsia"/>
        </w:rPr>
        <w:t>试验场地</w:t>
      </w:r>
    </w:p>
    <w:p w14:paraId="7081CF2E">
      <w:pPr>
        <w:pStyle w:val="41"/>
      </w:pPr>
      <w:r>
        <w:rPr>
          <w:rFonts w:hint="eastAsia"/>
        </w:rPr>
        <w:t>根据需要使用室外</w:t>
      </w:r>
      <w:r>
        <w:t>卫星</w:t>
      </w:r>
      <w:r>
        <w:rPr>
          <w:rFonts w:hint="eastAsia"/>
        </w:rPr>
        <w:t>导航</w:t>
      </w:r>
      <w:r>
        <w:t>信号</w:t>
      </w:r>
      <w:r>
        <w:rPr>
          <w:rFonts w:hint="eastAsia"/>
        </w:rPr>
        <w:t>或卫星信号模拟器试验，室外场地应符合如下要求：</w:t>
      </w:r>
    </w:p>
    <w:p w14:paraId="3EF602DC">
      <w:pPr>
        <w:pStyle w:val="41"/>
      </w:pPr>
      <w:r>
        <w:rPr>
          <w:rFonts w:hint="eastAsia"/>
        </w:rPr>
        <w:t>a）室外</w:t>
      </w:r>
      <w:r>
        <w:t>应在卫星星座PDOP</w:t>
      </w:r>
      <w:r>
        <w:rPr>
          <w:rFonts w:hint="eastAsia"/>
        </w:rPr>
        <w:t>不大于</w:t>
      </w:r>
      <w:r>
        <w:t>4的情况下进行</w:t>
      </w:r>
      <w:r>
        <w:rPr>
          <w:rFonts w:hint="eastAsia"/>
        </w:rPr>
        <w:t>；</w:t>
      </w:r>
    </w:p>
    <w:p w14:paraId="7ED8822B">
      <w:pPr>
        <w:pStyle w:val="41"/>
      </w:pPr>
      <w:r>
        <w:rPr>
          <w:rFonts w:hint="eastAsia"/>
        </w:rPr>
        <w:t>b）</w:t>
      </w:r>
      <w:r>
        <w:t>场地的各个检验点应远离高压输电线路和微波无线电信号传送通道，其距离不小于50m</w:t>
      </w:r>
      <w:r>
        <w:rPr>
          <w:rFonts w:hint="eastAsia"/>
        </w:rPr>
        <w:t>；</w:t>
      </w:r>
    </w:p>
    <w:p w14:paraId="53069A11">
      <w:pPr>
        <w:pStyle w:val="41"/>
      </w:pPr>
      <w:r>
        <w:rPr>
          <w:rFonts w:hint="eastAsia"/>
        </w:rPr>
        <w:t>c）</w:t>
      </w:r>
      <w:r>
        <w:t>场地远离大功率无线电发射源，其距离不小于200m</w:t>
      </w:r>
      <w:r>
        <w:rPr>
          <w:rFonts w:hint="eastAsia"/>
        </w:rPr>
        <w:t>；</w:t>
      </w:r>
    </w:p>
    <w:p w14:paraId="3F514E20">
      <w:pPr>
        <w:pStyle w:val="41"/>
      </w:pPr>
      <w:r>
        <w:t>d</w:t>
      </w:r>
      <w:r>
        <w:rPr>
          <w:rFonts w:hint="eastAsia"/>
        </w:rPr>
        <w:t>）</w:t>
      </w:r>
      <w:r>
        <w:t>场地的各个观测点位周围环视高度角10°以上无障碍物，附近不应有强烈反射卫星信号的物体，如大型建筑物、水面等</w:t>
      </w:r>
      <w:r>
        <w:rPr>
          <w:rFonts w:hint="eastAsia"/>
        </w:rPr>
        <w:t>；</w:t>
      </w:r>
    </w:p>
    <w:p w14:paraId="2D2EF433">
      <w:pPr>
        <w:pStyle w:val="41"/>
      </w:pPr>
      <w:r>
        <w:t>e</w:t>
      </w:r>
      <w:r>
        <w:rPr>
          <w:rFonts w:hint="eastAsia"/>
        </w:rPr>
        <w:t>）室外卫星导航天线安装高度应高于地面</w:t>
      </w:r>
      <w:r>
        <w:t>1m</w:t>
      </w:r>
      <w:r>
        <w:rPr>
          <w:rFonts w:hint="eastAsia"/>
        </w:rPr>
        <w:t>以上；</w:t>
      </w:r>
    </w:p>
    <w:p w14:paraId="7D5B0272">
      <w:pPr>
        <w:pStyle w:val="41"/>
      </w:pPr>
      <w:r>
        <w:t>f</w:t>
      </w:r>
      <w:r>
        <w:rPr>
          <w:rFonts w:hint="eastAsia"/>
        </w:rPr>
        <w:t>）</w:t>
      </w:r>
      <w:r>
        <w:t>场地的基线距离测定精度应优于被检验设备</w:t>
      </w:r>
      <w:r>
        <w:rPr>
          <w:rFonts w:hint="eastAsia"/>
        </w:rPr>
        <w:t>标称</w:t>
      </w:r>
      <w:r>
        <w:t>精度</w:t>
      </w:r>
      <w:r>
        <w:rPr>
          <w:rFonts w:hint="eastAsia"/>
        </w:rPr>
        <w:t>的1/3。</w:t>
      </w:r>
    </w:p>
    <w:p w14:paraId="2779B8EA">
      <w:pPr>
        <w:pStyle w:val="34"/>
        <w:numPr>
          <w:ilvl w:val="1"/>
          <w:numId w:val="9"/>
        </w:numPr>
        <w:spacing w:before="156" w:after="156"/>
      </w:pPr>
      <w:bookmarkStart w:id="147" w:name="_Toc164421266"/>
      <w:r>
        <w:rPr>
          <w:rFonts w:hint="eastAsia"/>
        </w:rPr>
        <w:t>气候影响试验</w:t>
      </w:r>
      <w:bookmarkEnd w:id="147"/>
    </w:p>
    <w:p w14:paraId="03B7B943">
      <w:pPr>
        <w:pStyle w:val="36"/>
        <w:numPr>
          <w:ilvl w:val="2"/>
          <w:numId w:val="9"/>
        </w:numPr>
        <w:spacing w:before="156" w:after="156"/>
      </w:pPr>
      <w:r>
        <w:rPr>
          <w:rFonts w:hint="eastAsia"/>
        </w:rPr>
        <w:t xml:space="preserve">高温试验 </w:t>
      </w:r>
    </w:p>
    <w:p w14:paraId="3A4AE10F">
      <w:pPr>
        <w:pStyle w:val="41"/>
      </w:pPr>
      <w:r>
        <w:rPr>
          <w:rFonts w:hint="eastAsia"/>
        </w:rPr>
        <w:t>按</w:t>
      </w:r>
      <w:bookmarkStart w:id="148" w:name="_Hlk161048835"/>
      <w:r>
        <w:t>GB/T 2423.2</w:t>
      </w:r>
      <w:r>
        <w:rPr>
          <w:rFonts w:hint="eastAsia"/>
        </w:rPr>
        <w:t>-</w:t>
      </w:r>
      <w:r>
        <w:t>200</w:t>
      </w:r>
      <w:bookmarkEnd w:id="148"/>
      <w:r>
        <w:t>8</w:t>
      </w:r>
      <w:r>
        <w:rPr>
          <w:rFonts w:hint="eastAsia"/>
        </w:rPr>
        <w:t>规定的</w:t>
      </w:r>
      <w:r>
        <w:t>Bb</w:t>
      </w:r>
      <w:r>
        <w:rPr>
          <w:rFonts w:hint="eastAsia"/>
        </w:rPr>
        <w:t>类进行，将被试终端在非通电状态下放入高温试验箱中央，升温至</w:t>
      </w:r>
      <w:r>
        <w:t>5.1</w:t>
      </w:r>
      <w:r>
        <w:rPr>
          <w:rFonts w:hint="eastAsia"/>
        </w:rPr>
        <w:t>中规定的最高温度，保温</w:t>
      </w:r>
      <w:r>
        <w:t>6h</w:t>
      </w:r>
      <w:r>
        <w:rPr>
          <w:rFonts w:hint="eastAsia"/>
        </w:rPr>
        <w:t>，然后通电</w:t>
      </w:r>
      <w:r>
        <w:t>0.5h</w:t>
      </w:r>
      <w:r>
        <w:rPr>
          <w:rFonts w:hint="eastAsia"/>
        </w:rPr>
        <w:t>，</w:t>
      </w:r>
      <w:r>
        <w:rPr>
          <w:rFonts w:hint="eastAsia"/>
          <w:color w:val="000000"/>
          <w:szCs w:val="21"/>
        </w:rPr>
        <w:t>试验时通信单元不应发生损坏或死机现象，试验后工作正常</w:t>
      </w:r>
      <w:r>
        <w:rPr>
          <w:rFonts w:hint="eastAsia"/>
        </w:rPr>
        <w:t>。</w:t>
      </w:r>
    </w:p>
    <w:p w14:paraId="65A8CC3F">
      <w:pPr>
        <w:pStyle w:val="36"/>
        <w:numPr>
          <w:ilvl w:val="2"/>
          <w:numId w:val="9"/>
        </w:numPr>
        <w:spacing w:before="156" w:after="156"/>
      </w:pPr>
      <w:r>
        <w:rPr>
          <w:rFonts w:hint="eastAsia"/>
        </w:rPr>
        <w:t xml:space="preserve">低温试验 </w:t>
      </w:r>
    </w:p>
    <w:p w14:paraId="17B077E3">
      <w:pPr>
        <w:pStyle w:val="41"/>
      </w:pPr>
      <w:r>
        <w:rPr>
          <w:rFonts w:hint="eastAsia"/>
        </w:rPr>
        <w:t>按</w:t>
      </w:r>
      <w:bookmarkStart w:id="149" w:name="_Hlk161048854"/>
      <w:r>
        <w:t>GB/T 2423.1</w:t>
      </w:r>
      <w:r>
        <w:rPr>
          <w:rFonts w:hint="eastAsia"/>
        </w:rPr>
        <w:t>-</w:t>
      </w:r>
      <w:r>
        <w:t>2008</w:t>
      </w:r>
      <w:bookmarkEnd w:id="149"/>
      <w:r>
        <w:rPr>
          <w:rFonts w:hint="eastAsia"/>
        </w:rPr>
        <w:t>规定的</w:t>
      </w:r>
      <w:r>
        <w:t>Ab</w:t>
      </w:r>
      <w:r>
        <w:rPr>
          <w:rFonts w:hint="eastAsia"/>
        </w:rPr>
        <w:t>类进行，将受试终端在非通电状态下放入低温试验箱的中央，降温至</w:t>
      </w:r>
      <w:r>
        <w:t>5.1</w:t>
      </w:r>
      <w:r>
        <w:rPr>
          <w:rFonts w:hint="eastAsia"/>
        </w:rPr>
        <w:t>中规定的最低温度，保温</w:t>
      </w:r>
      <w:r>
        <w:t>6h</w:t>
      </w:r>
      <w:r>
        <w:rPr>
          <w:rFonts w:hint="eastAsia"/>
        </w:rPr>
        <w:t>，然后通电</w:t>
      </w:r>
      <w:r>
        <w:t>0.5h</w:t>
      </w:r>
      <w:r>
        <w:rPr>
          <w:rFonts w:hint="eastAsia"/>
        </w:rPr>
        <w:t>，</w:t>
      </w:r>
      <w:r>
        <w:rPr>
          <w:rFonts w:hint="eastAsia"/>
          <w:color w:val="000000"/>
          <w:szCs w:val="21"/>
        </w:rPr>
        <w:t>试验时通信单元不应发生损坏或死机现象，试验后工作正常。</w:t>
      </w:r>
    </w:p>
    <w:p w14:paraId="67F401A0">
      <w:pPr>
        <w:pStyle w:val="36"/>
        <w:numPr>
          <w:ilvl w:val="2"/>
          <w:numId w:val="9"/>
        </w:numPr>
        <w:spacing w:before="156" w:after="156"/>
      </w:pPr>
      <w:r>
        <w:rPr>
          <w:rFonts w:hint="eastAsia"/>
        </w:rPr>
        <w:t>湿热试验</w:t>
      </w:r>
    </w:p>
    <w:p w14:paraId="16EF3FE1">
      <w:pPr>
        <w:pStyle w:val="41"/>
      </w:pPr>
      <w:r>
        <w:rPr>
          <w:rFonts w:hint="eastAsia"/>
        </w:rPr>
        <w:t>按</w:t>
      </w:r>
      <w:bookmarkStart w:id="150" w:name="_Hlk161048866"/>
      <w:r>
        <w:rPr>
          <w:rFonts w:hint="eastAsia"/>
        </w:rPr>
        <w:t>GB/T 2423.3-2016</w:t>
      </w:r>
      <w:bookmarkEnd w:id="150"/>
      <w:r>
        <w:rPr>
          <w:rFonts w:hint="eastAsia"/>
        </w:rPr>
        <w:t>的规定进行试验。将受试终端放在试验箱内保持温度40°C±2°C、相对湿度93%±3%，试验周期为2d。试验时通信单元不应发生损坏或死机现象，试验后工作正常。</w:t>
      </w:r>
    </w:p>
    <w:p w14:paraId="73724BAA">
      <w:pPr>
        <w:pStyle w:val="34"/>
        <w:numPr>
          <w:ilvl w:val="1"/>
          <w:numId w:val="9"/>
        </w:numPr>
        <w:spacing w:before="156" w:after="156"/>
      </w:pPr>
      <w:bookmarkStart w:id="151" w:name="_Toc164421267"/>
      <w:bookmarkStart w:id="152" w:name="_Toc27202"/>
      <w:r>
        <w:rPr>
          <w:rFonts w:hint="eastAsia"/>
        </w:rPr>
        <w:t>电源试验</w:t>
      </w:r>
      <w:bookmarkEnd w:id="151"/>
    </w:p>
    <w:p w14:paraId="02CDAA0E">
      <w:pPr>
        <w:pStyle w:val="36"/>
        <w:numPr>
          <w:ilvl w:val="2"/>
          <w:numId w:val="15"/>
        </w:numPr>
        <w:spacing w:before="156" w:after="156"/>
      </w:pPr>
      <w:r>
        <w:rPr>
          <w:rFonts w:hint="eastAsia"/>
        </w:rPr>
        <w:t>电源环境</w:t>
      </w:r>
    </w:p>
    <w:p w14:paraId="270180C7">
      <w:pPr>
        <w:pStyle w:val="41"/>
      </w:pPr>
      <w:r>
        <w:rPr>
          <w:rFonts w:hint="eastAsia"/>
        </w:rPr>
        <w:t>试验时通信单元对应的电源环境符合以下方法</w:t>
      </w:r>
      <w:r>
        <w:t>:</w:t>
      </w:r>
    </w:p>
    <w:p w14:paraId="7FB613C7">
      <w:pPr>
        <w:pStyle w:val="41"/>
      </w:pPr>
      <w:r>
        <w:t>a)电压:DC4V，允许偏差±5%；</w:t>
      </w:r>
    </w:p>
    <w:p w14:paraId="0721C710">
      <w:pPr>
        <w:pStyle w:val="41"/>
      </w:pPr>
      <w:r>
        <w:t>b)电压:DC5V，允许偏差±10%。</w:t>
      </w:r>
    </w:p>
    <w:p w14:paraId="35DE5767">
      <w:pPr>
        <w:pStyle w:val="36"/>
        <w:numPr>
          <w:ilvl w:val="2"/>
          <w:numId w:val="15"/>
        </w:numPr>
        <w:spacing w:before="156" w:after="156"/>
      </w:pPr>
      <w:r>
        <w:rPr>
          <w:rFonts w:hint="eastAsia"/>
        </w:rPr>
        <w:t>功率消耗试验</w:t>
      </w:r>
    </w:p>
    <w:p w14:paraId="2DCBD2CD">
      <w:pPr>
        <w:pStyle w:val="41"/>
        <w:rPr>
          <w:szCs w:val="22"/>
        </w:rPr>
      </w:pPr>
      <w:r>
        <w:rPr>
          <w:rFonts w:hint="eastAsia"/>
          <w:szCs w:val="22"/>
        </w:rPr>
        <w:t>按</w:t>
      </w:r>
      <w:bookmarkStart w:id="153" w:name="_Hlk161049204"/>
      <w:r>
        <w:rPr>
          <w:szCs w:val="22"/>
        </w:rPr>
        <w:t>YD/T 2576.1-2013</w:t>
      </w:r>
      <w:bookmarkEnd w:id="153"/>
      <w:r>
        <w:rPr>
          <w:rFonts w:hint="eastAsia" w:hAnsi="宋体" w:cs="宋体"/>
          <w:szCs w:val="21"/>
        </w:rPr>
        <w:t>与</w:t>
      </w:r>
      <w:r>
        <w:rPr>
          <w:rFonts w:hAnsi="宋体" w:cs="宋体"/>
          <w:szCs w:val="21"/>
        </w:rPr>
        <w:t>YD/T 2578.1-2013</w:t>
      </w:r>
      <w:r>
        <w:rPr>
          <w:rFonts w:hint="eastAsia"/>
          <w:szCs w:val="22"/>
        </w:rPr>
        <w:t>中</w:t>
      </w:r>
      <w:r>
        <w:rPr>
          <w:szCs w:val="22"/>
        </w:rPr>
        <w:t>7.2测试方法进行。</w:t>
      </w:r>
    </w:p>
    <w:p w14:paraId="7F62C7C7">
      <w:pPr>
        <w:pStyle w:val="41"/>
        <w:numPr>
          <w:ilvl w:val="0"/>
          <w:numId w:val="16"/>
        </w:numPr>
        <w:ind w:firstLineChars="0"/>
      </w:pPr>
      <w:r>
        <w:t>使用直流电源给</w:t>
      </w:r>
      <w:r>
        <w:rPr>
          <w:rFonts w:hint="eastAsia"/>
        </w:rPr>
        <w:t>通信单元</w:t>
      </w:r>
      <w:r>
        <w:t>供电，电压设置为</w:t>
      </w:r>
      <w:r>
        <w:rPr>
          <w:rFonts w:hint="eastAsia"/>
        </w:rPr>
        <w:t>通信单元</w:t>
      </w:r>
      <w:r>
        <w:t>的工作电压；</w:t>
      </w:r>
    </w:p>
    <w:p w14:paraId="0B971E2C">
      <w:pPr>
        <w:pStyle w:val="41"/>
        <w:numPr>
          <w:ilvl w:val="0"/>
          <w:numId w:val="16"/>
        </w:numPr>
        <w:ind w:firstLineChars="0"/>
      </w:pPr>
      <w:r>
        <w:t>打开电源开关，使</w:t>
      </w:r>
      <w:r>
        <w:rPr>
          <w:rFonts w:hint="eastAsia"/>
        </w:rPr>
        <w:t>通信单元</w:t>
      </w:r>
      <w:r>
        <w:t>在正常工作状态，可以接收并发射信号；</w:t>
      </w:r>
    </w:p>
    <w:p w14:paraId="3F6D41A5">
      <w:pPr>
        <w:pStyle w:val="41"/>
        <w:numPr>
          <w:ilvl w:val="0"/>
          <w:numId w:val="16"/>
        </w:numPr>
        <w:ind w:firstLineChars="0"/>
      </w:pPr>
      <w:r>
        <w:rPr>
          <w:rFonts w:hint="eastAsia"/>
        </w:rPr>
        <w:t>通信单元</w:t>
      </w:r>
      <w:r>
        <w:t>正常工作3min后，对直流电源的电流进行采样，每秒1次，连续记录30min；</w:t>
      </w:r>
    </w:p>
    <w:p w14:paraId="5D7C319A">
      <w:pPr>
        <w:pStyle w:val="41"/>
      </w:pPr>
      <w:r>
        <w:t>取30min的电流平均值计算</w:t>
      </w:r>
      <w:r>
        <w:rPr>
          <w:rFonts w:hint="eastAsia"/>
        </w:rPr>
        <w:t>通信单元</w:t>
      </w:r>
      <w:r>
        <w:t>的功耗。</w:t>
      </w:r>
    </w:p>
    <w:p w14:paraId="0087D8E9">
      <w:pPr>
        <w:pStyle w:val="34"/>
        <w:numPr>
          <w:ilvl w:val="1"/>
          <w:numId w:val="9"/>
        </w:numPr>
        <w:spacing w:before="156" w:after="156"/>
      </w:pPr>
      <w:bookmarkStart w:id="154" w:name="_Toc164421268"/>
      <w:r>
        <w:rPr>
          <w:rFonts w:hint="eastAsia"/>
        </w:rPr>
        <w:t>机械</w:t>
      </w:r>
      <w:bookmarkEnd w:id="152"/>
      <w:r>
        <w:rPr>
          <w:rFonts w:hint="eastAsia"/>
        </w:rPr>
        <w:t>试验</w:t>
      </w:r>
      <w:bookmarkEnd w:id="154"/>
    </w:p>
    <w:p w14:paraId="76990EB3">
      <w:pPr>
        <w:pStyle w:val="36"/>
        <w:numPr>
          <w:ilvl w:val="2"/>
          <w:numId w:val="9"/>
        </w:numPr>
        <w:spacing w:before="156" w:after="156"/>
      </w:pPr>
      <w:r>
        <w:rPr>
          <w:rFonts w:hint="eastAsia"/>
        </w:rPr>
        <w:t>外观</w:t>
      </w:r>
      <w:r>
        <w:t>检查</w:t>
      </w:r>
    </w:p>
    <w:p w14:paraId="68D5E1BC">
      <w:pPr>
        <w:pStyle w:val="41"/>
      </w:pPr>
      <w:r>
        <w:rPr>
          <w:rFonts w:hint="eastAsia"/>
        </w:rPr>
        <w:t>采用目测法进行检查。</w:t>
      </w:r>
    </w:p>
    <w:p w14:paraId="7041E6A6">
      <w:pPr>
        <w:pStyle w:val="36"/>
        <w:numPr>
          <w:ilvl w:val="2"/>
          <w:numId w:val="9"/>
        </w:numPr>
        <w:spacing w:before="156" w:after="156"/>
      </w:pPr>
      <w:r>
        <w:rPr>
          <w:rFonts w:hint="eastAsia"/>
        </w:rPr>
        <w:t>外壳防护性能</w:t>
      </w:r>
    </w:p>
    <w:p w14:paraId="2B3A6A16">
      <w:pPr>
        <w:pStyle w:val="41"/>
      </w:pPr>
      <w:r>
        <w:rPr>
          <w:rFonts w:hint="eastAsia"/>
        </w:rPr>
        <w:t>按</w:t>
      </w:r>
      <w:r>
        <w:t>GB/T 4208-2017</w:t>
      </w:r>
      <w:r>
        <w:rPr>
          <w:rFonts w:hint="eastAsia"/>
        </w:rPr>
        <w:t>规定的方法进行。</w:t>
      </w:r>
    </w:p>
    <w:p w14:paraId="7B04AA86">
      <w:pPr>
        <w:pStyle w:val="36"/>
        <w:numPr>
          <w:ilvl w:val="2"/>
          <w:numId w:val="9"/>
        </w:numPr>
        <w:spacing w:before="156" w:after="156"/>
      </w:pPr>
      <w:r>
        <w:rPr>
          <w:rFonts w:hint="eastAsia"/>
        </w:rPr>
        <w:t>耐热阻燃试验</w:t>
      </w:r>
    </w:p>
    <w:p w14:paraId="7D0EE364">
      <w:pPr>
        <w:pStyle w:val="41"/>
      </w:pPr>
      <w:r>
        <w:rPr>
          <w:rFonts w:hint="eastAsia"/>
        </w:rPr>
        <w:t>在非金属外壳的通信单元壳体上按</w:t>
      </w:r>
      <w:r>
        <w:t>GB/T 5169.11-2017</w:t>
      </w:r>
      <w:r>
        <w:rPr>
          <w:rFonts w:hint="eastAsia"/>
        </w:rPr>
        <w:t>规定的方法进行试验，灼热丝顶部的温度为</w:t>
      </w:r>
      <w:r>
        <w:t>650</w:t>
      </w:r>
      <w:r>
        <w:rPr>
          <w:rFonts w:hint="eastAsia"/>
        </w:rPr>
        <w:t>℃</w:t>
      </w:r>
      <w:r>
        <w:t>±10</w:t>
      </w:r>
      <w:r>
        <w:rPr>
          <w:rFonts w:hint="eastAsia"/>
        </w:rPr>
        <w:t>℃。</w:t>
      </w:r>
    </w:p>
    <w:p w14:paraId="3F367854">
      <w:pPr>
        <w:pStyle w:val="34"/>
        <w:numPr>
          <w:ilvl w:val="1"/>
          <w:numId w:val="9"/>
        </w:numPr>
        <w:spacing w:before="156" w:after="156"/>
      </w:pPr>
      <w:bookmarkStart w:id="155" w:name="_Toc164421269"/>
      <w:r>
        <w:rPr>
          <w:rFonts w:hint="eastAsia"/>
        </w:rPr>
        <w:t>电气要求试验</w:t>
      </w:r>
      <w:bookmarkEnd w:id="155"/>
    </w:p>
    <w:p w14:paraId="27B2F1E1">
      <w:pPr>
        <w:pStyle w:val="36"/>
        <w:numPr>
          <w:ilvl w:val="2"/>
          <w:numId w:val="9"/>
        </w:numPr>
        <w:spacing w:before="156" w:after="156"/>
      </w:pPr>
      <w:r>
        <w:rPr>
          <w:rFonts w:hint="eastAsia"/>
        </w:rPr>
        <w:t>绝缘强度试验</w:t>
      </w:r>
    </w:p>
    <w:p w14:paraId="16F60388">
      <w:pPr>
        <w:ind w:firstLine="420" w:firstLineChars="200"/>
        <w:rPr>
          <w:color w:val="000000"/>
          <w:sz w:val="21"/>
          <w:szCs w:val="21"/>
        </w:rPr>
      </w:pPr>
      <w:r>
        <w:rPr>
          <w:rFonts w:hint="eastAsia"/>
          <w:color w:val="000000"/>
          <w:sz w:val="21"/>
          <w:szCs w:val="21"/>
        </w:rPr>
        <w:t>用</w:t>
      </w:r>
      <w:r>
        <w:rPr>
          <w:color w:val="000000"/>
          <w:sz w:val="21"/>
          <w:szCs w:val="21"/>
        </w:rPr>
        <w:t xml:space="preserve">50Hz </w:t>
      </w:r>
      <w:r>
        <w:rPr>
          <w:rFonts w:hint="eastAsia"/>
          <w:color w:val="000000"/>
          <w:sz w:val="21"/>
          <w:szCs w:val="21"/>
        </w:rPr>
        <w:t>正弦波电压对以下回路进行试验，试验时间为</w:t>
      </w:r>
      <w:r>
        <w:rPr>
          <w:color w:val="000000"/>
          <w:sz w:val="21"/>
          <w:szCs w:val="21"/>
        </w:rPr>
        <w:t>1min</w:t>
      </w:r>
      <w:r>
        <w:rPr>
          <w:rFonts w:hint="eastAsia"/>
          <w:color w:val="000000"/>
          <w:sz w:val="21"/>
          <w:szCs w:val="21"/>
        </w:rPr>
        <w:t>，施加规定的试验电压。被试回路为电源回路对地。</w:t>
      </w:r>
    </w:p>
    <w:p w14:paraId="76F2341F">
      <w:pPr>
        <w:pStyle w:val="36"/>
        <w:numPr>
          <w:ilvl w:val="2"/>
          <w:numId w:val="9"/>
        </w:numPr>
        <w:spacing w:before="156" w:after="156"/>
      </w:pPr>
      <w:bookmarkStart w:id="156" w:name="_Toc16677"/>
      <w:r>
        <w:rPr>
          <w:rFonts w:hint="eastAsia"/>
        </w:rPr>
        <w:t>冲击试验</w:t>
      </w:r>
    </w:p>
    <w:p w14:paraId="44C6808C">
      <w:pPr>
        <w:pStyle w:val="41"/>
      </w:pPr>
      <w:r>
        <w:rPr>
          <w:rFonts w:hint="eastAsia"/>
        </w:rPr>
        <w:t>试验要求为：</w:t>
      </w:r>
      <w:r>
        <w:rPr>
          <w:rFonts w:hint="eastAsia"/>
          <w:szCs w:val="21"/>
        </w:rPr>
        <w:t>冲击电压</w:t>
      </w:r>
      <w:r>
        <w:rPr>
          <w:rFonts w:hint="eastAsia" w:cs="宋体"/>
          <w:szCs w:val="21"/>
        </w:rPr>
        <w:t>峰值</w:t>
      </w:r>
      <w:r>
        <w:rPr>
          <w:rFonts w:cs="宋体"/>
          <w:szCs w:val="21"/>
        </w:rPr>
        <w:t>5000V</w:t>
      </w:r>
    </w:p>
    <w:p w14:paraId="0E3E5B4C">
      <w:pPr>
        <w:pStyle w:val="41"/>
      </w:pPr>
      <w:r>
        <w:rPr>
          <w:rFonts w:hint="eastAsia"/>
        </w:rPr>
        <w:t>每次试验分别在正、负极性下施加</w:t>
      </w:r>
      <w:r>
        <w:t>5</w:t>
      </w:r>
      <w:r>
        <w:rPr>
          <w:rFonts w:hint="eastAsia"/>
        </w:rPr>
        <w:t>次，两个脉冲之间最少间隔</w:t>
      </w:r>
      <w:r>
        <w:t>3s</w:t>
      </w:r>
      <w:r>
        <w:rPr>
          <w:rFonts w:hint="eastAsia"/>
        </w:rPr>
        <w:t>，被试回路为电源回路对地。</w:t>
      </w:r>
    </w:p>
    <w:p w14:paraId="09411D52">
      <w:pPr>
        <w:pStyle w:val="34"/>
        <w:numPr>
          <w:ilvl w:val="1"/>
          <w:numId w:val="9"/>
        </w:numPr>
        <w:spacing w:before="156" w:after="156"/>
      </w:pPr>
      <w:bookmarkStart w:id="157" w:name="_Toc164421270"/>
      <w:r>
        <w:rPr>
          <w:rFonts w:hint="eastAsia"/>
        </w:rPr>
        <w:t>电磁兼容</w:t>
      </w:r>
      <w:bookmarkEnd w:id="156"/>
      <w:r>
        <w:rPr>
          <w:rFonts w:hint="eastAsia"/>
        </w:rPr>
        <w:t>试验</w:t>
      </w:r>
      <w:bookmarkEnd w:id="157"/>
    </w:p>
    <w:p w14:paraId="220E9ACC">
      <w:pPr>
        <w:pStyle w:val="36"/>
        <w:numPr>
          <w:ilvl w:val="2"/>
          <w:numId w:val="9"/>
        </w:numPr>
        <w:spacing w:before="156" w:after="156"/>
        <w:rPr>
          <w:szCs w:val="24"/>
        </w:rPr>
      </w:pPr>
      <w:r>
        <w:rPr>
          <w:rFonts w:hint="eastAsia"/>
          <w:szCs w:val="24"/>
        </w:rPr>
        <w:t>电压暂降和短时中断</w:t>
      </w:r>
    </w:p>
    <w:p w14:paraId="25554CF1">
      <w:pPr>
        <w:ind w:firstLine="420" w:firstLineChars="200"/>
        <w:rPr>
          <w:sz w:val="21"/>
          <w:szCs w:val="21"/>
        </w:rPr>
      </w:pPr>
      <w:r>
        <w:rPr>
          <w:rFonts w:hint="eastAsia"/>
          <w:color w:val="000000"/>
          <w:sz w:val="21"/>
          <w:szCs w:val="21"/>
        </w:rPr>
        <w:t xml:space="preserve">终端在通电状态下，按GB/T 17626.11-2008的规定，并在下述条件下进行试验： </w:t>
      </w:r>
    </w:p>
    <w:p w14:paraId="5475824E">
      <w:pPr>
        <w:ind w:firstLine="420" w:firstLineChars="200"/>
        <w:rPr>
          <w:sz w:val="21"/>
          <w:szCs w:val="21"/>
        </w:rPr>
      </w:pPr>
      <w:r>
        <w:rPr>
          <w:rFonts w:hint="eastAsia"/>
          <w:color w:val="000000"/>
          <w:sz w:val="21"/>
          <w:szCs w:val="21"/>
        </w:rPr>
        <w:t>a） 电压试验等级40%</w:t>
      </w:r>
      <w:r>
        <w:rPr>
          <w:rFonts w:hint="eastAsia"/>
          <w:i/>
          <w:color w:val="000000"/>
          <w:sz w:val="21"/>
          <w:szCs w:val="21"/>
        </w:rPr>
        <w:t>U</w:t>
      </w:r>
      <w:r>
        <w:rPr>
          <w:rFonts w:hint="eastAsia"/>
          <w:color w:val="000000"/>
          <w:sz w:val="21"/>
          <w:szCs w:val="21"/>
        </w:rPr>
        <w:t xml:space="preserve">T： </w:t>
      </w:r>
    </w:p>
    <w:p w14:paraId="3B14D27D">
      <w:pPr>
        <w:ind w:firstLine="840" w:firstLineChars="400"/>
        <w:rPr>
          <w:sz w:val="21"/>
          <w:szCs w:val="21"/>
        </w:rPr>
      </w:pPr>
      <w:r>
        <w:rPr>
          <w:rFonts w:hint="eastAsia"/>
          <w:color w:val="000000"/>
          <w:sz w:val="21"/>
          <w:szCs w:val="21"/>
        </w:rPr>
        <w:t xml:space="preserve">1） 从额定电压暂降60%； </w:t>
      </w:r>
    </w:p>
    <w:p w14:paraId="28DBCB52">
      <w:pPr>
        <w:ind w:firstLine="840" w:firstLineChars="400"/>
        <w:rPr>
          <w:sz w:val="21"/>
          <w:szCs w:val="21"/>
        </w:rPr>
      </w:pPr>
      <w:r>
        <w:rPr>
          <w:rFonts w:hint="eastAsia"/>
          <w:color w:val="000000"/>
          <w:sz w:val="21"/>
          <w:szCs w:val="21"/>
        </w:rPr>
        <w:t xml:space="preserve">2） 持续时间：1min，3000个周期； </w:t>
      </w:r>
    </w:p>
    <w:p w14:paraId="1313CE53">
      <w:pPr>
        <w:ind w:firstLine="840" w:firstLineChars="400"/>
        <w:rPr>
          <w:sz w:val="21"/>
          <w:szCs w:val="21"/>
        </w:rPr>
      </w:pPr>
      <w:r>
        <w:rPr>
          <w:rFonts w:hint="eastAsia"/>
          <w:color w:val="000000"/>
          <w:sz w:val="21"/>
          <w:szCs w:val="21"/>
        </w:rPr>
        <w:t>3） 降落次数：1次。</w:t>
      </w:r>
    </w:p>
    <w:p w14:paraId="79DF0F34">
      <w:pPr>
        <w:ind w:firstLine="420" w:firstLineChars="200"/>
        <w:rPr>
          <w:sz w:val="21"/>
          <w:szCs w:val="21"/>
        </w:rPr>
      </w:pPr>
      <w:r>
        <w:rPr>
          <w:rFonts w:hint="eastAsia"/>
          <w:color w:val="000000"/>
          <w:sz w:val="21"/>
          <w:szCs w:val="21"/>
        </w:rPr>
        <w:t>b） 电压试验等级0%</w:t>
      </w:r>
      <w:r>
        <w:rPr>
          <w:rFonts w:hint="eastAsia"/>
          <w:i/>
          <w:color w:val="000000"/>
          <w:sz w:val="21"/>
          <w:szCs w:val="21"/>
        </w:rPr>
        <w:t>U</w:t>
      </w:r>
      <w:r>
        <w:rPr>
          <w:rFonts w:hint="eastAsia"/>
          <w:color w:val="000000"/>
          <w:sz w:val="21"/>
          <w:szCs w:val="21"/>
        </w:rPr>
        <w:t xml:space="preserve">T： </w:t>
      </w:r>
    </w:p>
    <w:p w14:paraId="7D5741E9">
      <w:pPr>
        <w:ind w:firstLine="840" w:firstLineChars="400"/>
        <w:rPr>
          <w:color w:val="000000"/>
          <w:sz w:val="21"/>
          <w:szCs w:val="21"/>
        </w:rPr>
      </w:pPr>
      <w:r>
        <w:rPr>
          <w:rFonts w:hint="eastAsia"/>
          <w:color w:val="000000"/>
          <w:sz w:val="21"/>
          <w:szCs w:val="21"/>
        </w:rPr>
        <w:t xml:space="preserve">1） 从额定电压暂降100%； </w:t>
      </w:r>
    </w:p>
    <w:p w14:paraId="178889F3">
      <w:pPr>
        <w:ind w:firstLine="840" w:firstLineChars="400"/>
        <w:rPr>
          <w:color w:val="000000"/>
          <w:sz w:val="21"/>
          <w:szCs w:val="21"/>
        </w:rPr>
      </w:pPr>
      <w:r>
        <w:rPr>
          <w:rFonts w:hint="eastAsia"/>
          <w:color w:val="000000"/>
          <w:sz w:val="21"/>
          <w:szCs w:val="21"/>
        </w:rPr>
        <w:t xml:space="preserve">2） 持续时间：1s，50个周期； </w:t>
      </w:r>
    </w:p>
    <w:p w14:paraId="6C20DDF5">
      <w:pPr>
        <w:ind w:firstLine="840" w:firstLineChars="400"/>
        <w:rPr>
          <w:sz w:val="21"/>
          <w:szCs w:val="21"/>
        </w:rPr>
      </w:pPr>
      <w:r>
        <w:rPr>
          <w:rFonts w:hint="eastAsia"/>
          <w:color w:val="000000"/>
          <w:sz w:val="21"/>
          <w:szCs w:val="21"/>
        </w:rPr>
        <w:t xml:space="preserve">3） 中断次数：3次，各次中断之间的恢复时间为10s。 </w:t>
      </w:r>
    </w:p>
    <w:p w14:paraId="43EFE010">
      <w:pPr>
        <w:ind w:firstLine="420" w:firstLineChars="200"/>
        <w:rPr>
          <w:sz w:val="21"/>
          <w:szCs w:val="21"/>
        </w:rPr>
      </w:pPr>
      <w:r>
        <w:rPr>
          <w:rFonts w:hint="eastAsia"/>
          <w:color w:val="000000"/>
          <w:sz w:val="21"/>
          <w:szCs w:val="21"/>
        </w:rPr>
        <w:t>c） 电压试验等级0%</w:t>
      </w:r>
      <w:r>
        <w:rPr>
          <w:rFonts w:hint="eastAsia"/>
          <w:i/>
          <w:color w:val="000000"/>
          <w:sz w:val="21"/>
          <w:szCs w:val="21"/>
        </w:rPr>
        <w:t>U</w:t>
      </w:r>
      <w:r>
        <w:rPr>
          <w:rFonts w:hint="eastAsia"/>
          <w:color w:val="000000"/>
          <w:sz w:val="21"/>
          <w:szCs w:val="21"/>
        </w:rPr>
        <w:t xml:space="preserve">T： </w:t>
      </w:r>
    </w:p>
    <w:p w14:paraId="64739A8E">
      <w:pPr>
        <w:ind w:firstLine="840" w:firstLineChars="400"/>
        <w:rPr>
          <w:color w:val="000000"/>
          <w:sz w:val="21"/>
          <w:szCs w:val="21"/>
        </w:rPr>
      </w:pPr>
      <w:r>
        <w:rPr>
          <w:rFonts w:hint="eastAsia"/>
          <w:color w:val="000000"/>
          <w:sz w:val="21"/>
          <w:szCs w:val="21"/>
        </w:rPr>
        <w:t xml:space="preserve">1） 从额定电压暂降100%； </w:t>
      </w:r>
    </w:p>
    <w:p w14:paraId="41FD2422">
      <w:pPr>
        <w:ind w:firstLine="840" w:firstLineChars="400"/>
        <w:rPr>
          <w:color w:val="000000"/>
          <w:sz w:val="21"/>
          <w:szCs w:val="21"/>
        </w:rPr>
      </w:pPr>
      <w:r>
        <w:rPr>
          <w:rFonts w:hint="eastAsia"/>
          <w:color w:val="000000"/>
          <w:sz w:val="21"/>
          <w:szCs w:val="21"/>
        </w:rPr>
        <w:t xml:space="preserve">2） 中断时间：20ms，1个周期； </w:t>
      </w:r>
    </w:p>
    <w:p w14:paraId="2760116F">
      <w:pPr>
        <w:ind w:firstLine="840" w:firstLineChars="400"/>
        <w:rPr>
          <w:color w:val="000000"/>
          <w:sz w:val="21"/>
          <w:szCs w:val="21"/>
        </w:rPr>
      </w:pPr>
      <w:r>
        <w:rPr>
          <w:rFonts w:hint="eastAsia"/>
          <w:color w:val="000000"/>
          <w:sz w:val="21"/>
          <w:szCs w:val="21"/>
        </w:rPr>
        <w:t>3） 中断次数：1次。</w:t>
      </w:r>
    </w:p>
    <w:p w14:paraId="2B898413">
      <w:pPr>
        <w:ind w:firstLine="420" w:firstLineChars="200"/>
        <w:rPr>
          <w:sz w:val="21"/>
          <w:szCs w:val="21"/>
        </w:rPr>
      </w:pPr>
      <w:r>
        <w:rPr>
          <w:rFonts w:hint="eastAsia"/>
          <w:color w:val="000000"/>
          <w:sz w:val="21"/>
          <w:szCs w:val="21"/>
        </w:rPr>
        <w:t xml:space="preserve">以上电源电压的突变发生在电压过零处。 </w:t>
      </w:r>
    </w:p>
    <w:p w14:paraId="559CA1F2">
      <w:pPr>
        <w:ind w:firstLine="420" w:firstLineChars="200"/>
        <w:rPr>
          <w:sz w:val="21"/>
          <w:szCs w:val="21"/>
        </w:rPr>
      </w:pPr>
      <w:r>
        <w:rPr>
          <w:rFonts w:hint="eastAsia"/>
          <w:color w:val="000000"/>
          <w:sz w:val="21"/>
          <w:szCs w:val="21"/>
        </w:rPr>
        <w:t>试验时通信单元不应发生损坏或死机现象，试验后工作正常。</w:t>
      </w:r>
    </w:p>
    <w:p w14:paraId="74FDA0F8">
      <w:pPr>
        <w:pStyle w:val="36"/>
        <w:numPr>
          <w:ilvl w:val="2"/>
          <w:numId w:val="9"/>
        </w:numPr>
        <w:spacing w:before="156" w:after="156"/>
        <w:rPr>
          <w:szCs w:val="24"/>
        </w:rPr>
      </w:pPr>
      <w:r>
        <w:rPr>
          <w:rFonts w:hint="eastAsia"/>
          <w:szCs w:val="24"/>
        </w:rPr>
        <w:t>工频磁场抗扰度</w:t>
      </w:r>
    </w:p>
    <w:p w14:paraId="4115450D">
      <w:pPr>
        <w:ind w:firstLine="420" w:firstLineChars="200"/>
        <w:rPr>
          <w:color w:val="000000"/>
          <w:sz w:val="21"/>
          <w:szCs w:val="21"/>
        </w:rPr>
      </w:pPr>
      <w:r>
        <w:rPr>
          <w:rFonts w:hint="eastAsia"/>
          <w:color w:val="000000"/>
          <w:sz w:val="21"/>
          <w:szCs w:val="21"/>
        </w:rPr>
        <w:t>将终端置于与系统电源电压相同频率的随时间正弦变化、强度为</w:t>
      </w:r>
      <w:r>
        <w:rPr>
          <w:color w:val="000000"/>
          <w:sz w:val="21"/>
          <w:szCs w:val="21"/>
        </w:rPr>
        <w:t>400A/m</w:t>
      </w:r>
      <w:r>
        <w:rPr>
          <w:rFonts w:hint="eastAsia"/>
          <w:color w:val="000000"/>
          <w:sz w:val="21"/>
          <w:szCs w:val="21"/>
        </w:rPr>
        <w:t>的稳定持续磁场的线圈中心，试验时通信单元不应发生损坏或死机现象，试验后工作正常。</w:t>
      </w:r>
    </w:p>
    <w:p w14:paraId="6806E068">
      <w:pPr>
        <w:pStyle w:val="36"/>
        <w:numPr>
          <w:ilvl w:val="2"/>
          <w:numId w:val="9"/>
        </w:numPr>
        <w:spacing w:before="156" w:after="156"/>
        <w:rPr>
          <w:szCs w:val="24"/>
        </w:rPr>
      </w:pPr>
      <w:r>
        <w:rPr>
          <w:rFonts w:hint="eastAsia"/>
          <w:szCs w:val="24"/>
        </w:rPr>
        <w:t>射频辐射电磁场抗扰度</w:t>
      </w:r>
    </w:p>
    <w:p w14:paraId="6ADBEA11">
      <w:pPr>
        <w:ind w:firstLine="420" w:firstLineChars="200"/>
        <w:rPr>
          <w:color w:val="000000"/>
          <w:sz w:val="21"/>
          <w:szCs w:val="21"/>
        </w:rPr>
      </w:pPr>
      <w:r>
        <w:rPr>
          <w:rFonts w:hint="eastAsia"/>
          <w:color w:val="000000"/>
          <w:sz w:val="21"/>
          <w:szCs w:val="21"/>
        </w:rPr>
        <w:t>终端在正常工作状态下，按</w:t>
      </w:r>
      <w:r>
        <w:rPr>
          <w:color w:val="000000"/>
          <w:sz w:val="21"/>
          <w:szCs w:val="21"/>
        </w:rPr>
        <w:t>GB/T 17626.3</w:t>
      </w:r>
      <w:r>
        <w:rPr>
          <w:rFonts w:hint="eastAsia"/>
          <w:color w:val="000000"/>
          <w:sz w:val="21"/>
          <w:szCs w:val="21"/>
        </w:rPr>
        <w:t>-</w:t>
      </w:r>
      <w:r>
        <w:rPr>
          <w:color w:val="000000"/>
          <w:sz w:val="21"/>
          <w:szCs w:val="21"/>
        </w:rPr>
        <w:t>20</w:t>
      </w:r>
      <w:r>
        <w:rPr>
          <w:rFonts w:hint="eastAsia"/>
          <w:color w:val="000000"/>
          <w:sz w:val="21"/>
          <w:szCs w:val="21"/>
        </w:rPr>
        <w:t>1</w:t>
      </w:r>
      <w:r>
        <w:rPr>
          <w:color w:val="000000"/>
          <w:sz w:val="21"/>
          <w:szCs w:val="21"/>
        </w:rPr>
        <w:t>6</w:t>
      </w:r>
      <w:r>
        <w:rPr>
          <w:rFonts w:hint="eastAsia"/>
          <w:color w:val="000000"/>
          <w:sz w:val="21"/>
          <w:szCs w:val="21"/>
        </w:rPr>
        <w:t xml:space="preserve">的规定，并在下述条件下进行试验： </w:t>
      </w:r>
    </w:p>
    <w:p w14:paraId="11AF8AC9">
      <w:pPr>
        <w:ind w:firstLine="420" w:firstLineChars="200"/>
        <w:rPr>
          <w:color w:val="000000"/>
          <w:sz w:val="21"/>
          <w:szCs w:val="21"/>
        </w:rPr>
      </w:pPr>
      <w:r>
        <w:rPr>
          <w:rFonts w:hint="eastAsia"/>
          <w:color w:val="000000"/>
          <w:sz w:val="21"/>
          <w:szCs w:val="21"/>
        </w:rPr>
        <w:t>a） 一般试验等级：</w:t>
      </w:r>
    </w:p>
    <w:p w14:paraId="166BF732">
      <w:pPr>
        <w:ind w:firstLine="840" w:firstLineChars="400"/>
        <w:rPr>
          <w:color w:val="000000"/>
          <w:sz w:val="21"/>
          <w:szCs w:val="21"/>
        </w:rPr>
      </w:pPr>
      <w:r>
        <w:rPr>
          <w:rFonts w:hint="eastAsia"/>
          <w:color w:val="000000"/>
          <w:sz w:val="21"/>
          <w:szCs w:val="21"/>
        </w:rPr>
        <w:t>1） 频率范围：80MHz～1000MHz；</w:t>
      </w:r>
    </w:p>
    <w:p w14:paraId="46F6F927">
      <w:pPr>
        <w:ind w:firstLine="840" w:firstLineChars="400"/>
        <w:rPr>
          <w:color w:val="000000"/>
          <w:sz w:val="21"/>
          <w:szCs w:val="21"/>
        </w:rPr>
      </w:pPr>
      <w:r>
        <w:rPr>
          <w:rFonts w:hint="eastAsia"/>
          <w:color w:val="000000"/>
          <w:sz w:val="21"/>
          <w:szCs w:val="21"/>
        </w:rPr>
        <w:t>2） 严酷等级：3；</w:t>
      </w:r>
    </w:p>
    <w:p w14:paraId="0BC12BA8">
      <w:pPr>
        <w:ind w:firstLine="840" w:firstLineChars="400"/>
        <w:rPr>
          <w:color w:val="000000"/>
          <w:sz w:val="21"/>
          <w:szCs w:val="21"/>
        </w:rPr>
      </w:pPr>
      <w:r>
        <w:rPr>
          <w:rFonts w:hint="eastAsia"/>
          <w:color w:val="000000"/>
          <w:sz w:val="21"/>
          <w:szCs w:val="21"/>
        </w:rPr>
        <w:t>3） 试验场强：10V/m（非调制）；</w:t>
      </w:r>
    </w:p>
    <w:p w14:paraId="0CB48162">
      <w:pPr>
        <w:ind w:firstLine="840" w:firstLineChars="400"/>
        <w:rPr>
          <w:color w:val="000000"/>
          <w:sz w:val="21"/>
          <w:szCs w:val="21"/>
        </w:rPr>
      </w:pPr>
      <w:r>
        <w:rPr>
          <w:rFonts w:hint="eastAsia"/>
          <w:color w:val="000000"/>
          <w:sz w:val="21"/>
          <w:szCs w:val="21"/>
        </w:rPr>
        <w:t>4） 正弦波1kHz，80%幅度调制。</w:t>
      </w:r>
    </w:p>
    <w:p w14:paraId="03D44CAB">
      <w:pPr>
        <w:ind w:firstLine="420" w:firstLineChars="200"/>
        <w:rPr>
          <w:color w:val="000000"/>
          <w:sz w:val="21"/>
          <w:szCs w:val="21"/>
        </w:rPr>
      </w:pPr>
      <w:r>
        <w:rPr>
          <w:rFonts w:hint="eastAsia"/>
          <w:color w:val="000000"/>
          <w:sz w:val="21"/>
          <w:szCs w:val="21"/>
        </w:rPr>
        <w:t>b） 抵抗数字无线电话射频辐射的试验等级：</w:t>
      </w:r>
    </w:p>
    <w:p w14:paraId="028DFB37">
      <w:pPr>
        <w:ind w:firstLine="840" w:firstLineChars="400"/>
        <w:rPr>
          <w:color w:val="000000"/>
          <w:sz w:val="21"/>
          <w:szCs w:val="21"/>
        </w:rPr>
      </w:pPr>
      <w:r>
        <w:rPr>
          <w:rFonts w:hint="eastAsia"/>
          <w:color w:val="000000"/>
          <w:sz w:val="21"/>
          <w:szCs w:val="21"/>
        </w:rPr>
        <w:t>1） 频率范围：1.4GHz～2GHz；</w:t>
      </w:r>
    </w:p>
    <w:p w14:paraId="1BEB1E36">
      <w:pPr>
        <w:ind w:firstLine="840" w:firstLineChars="400"/>
        <w:rPr>
          <w:color w:val="000000"/>
          <w:sz w:val="21"/>
          <w:szCs w:val="21"/>
        </w:rPr>
      </w:pPr>
      <w:r>
        <w:rPr>
          <w:rFonts w:hint="eastAsia"/>
          <w:color w:val="000000"/>
          <w:sz w:val="21"/>
          <w:szCs w:val="21"/>
        </w:rPr>
        <w:t>2） 严酷等级：4；</w:t>
      </w:r>
    </w:p>
    <w:p w14:paraId="25F2BE0F">
      <w:pPr>
        <w:ind w:firstLine="840" w:firstLineChars="400"/>
        <w:rPr>
          <w:color w:val="000000"/>
          <w:sz w:val="21"/>
          <w:szCs w:val="21"/>
        </w:rPr>
      </w:pPr>
      <w:r>
        <w:rPr>
          <w:rFonts w:hint="eastAsia"/>
          <w:color w:val="000000"/>
          <w:sz w:val="21"/>
          <w:szCs w:val="21"/>
        </w:rPr>
        <w:t>3） 试验场强：30V/m（非调制）；</w:t>
      </w:r>
    </w:p>
    <w:p w14:paraId="6C721805">
      <w:pPr>
        <w:ind w:firstLine="840" w:firstLineChars="400"/>
        <w:rPr>
          <w:color w:val="000000"/>
          <w:sz w:val="21"/>
          <w:szCs w:val="21"/>
        </w:rPr>
      </w:pPr>
      <w:r>
        <w:rPr>
          <w:rFonts w:hint="eastAsia"/>
          <w:color w:val="000000"/>
          <w:sz w:val="21"/>
          <w:szCs w:val="21"/>
        </w:rPr>
        <w:t>4） 正弦波 1kHz，80%幅度调制。</w:t>
      </w:r>
    </w:p>
    <w:p w14:paraId="70105819">
      <w:pPr>
        <w:ind w:firstLine="420" w:firstLineChars="200"/>
        <w:rPr>
          <w:color w:val="000000"/>
          <w:sz w:val="21"/>
          <w:szCs w:val="21"/>
        </w:rPr>
      </w:pPr>
      <w:r>
        <w:rPr>
          <w:rFonts w:hint="eastAsia"/>
          <w:color w:val="000000"/>
          <w:sz w:val="21"/>
          <w:szCs w:val="21"/>
        </w:rPr>
        <w:t>试验时在非工作频带内，通信单元不应发生损坏或死机现象，试验后工作正常。</w:t>
      </w:r>
    </w:p>
    <w:p w14:paraId="3E10A0A8">
      <w:pPr>
        <w:pStyle w:val="36"/>
        <w:numPr>
          <w:ilvl w:val="2"/>
          <w:numId w:val="9"/>
        </w:numPr>
        <w:spacing w:before="156" w:after="156"/>
        <w:rPr>
          <w:szCs w:val="24"/>
        </w:rPr>
      </w:pPr>
      <w:r>
        <w:rPr>
          <w:rFonts w:hint="eastAsia"/>
          <w:szCs w:val="24"/>
        </w:rPr>
        <w:t>射频场感应的传导骚扰抗扰度</w:t>
      </w:r>
    </w:p>
    <w:p w14:paraId="1EF02453">
      <w:pPr>
        <w:ind w:firstLine="420" w:firstLineChars="200"/>
        <w:rPr>
          <w:color w:val="000000"/>
          <w:sz w:val="21"/>
          <w:szCs w:val="21"/>
        </w:rPr>
      </w:pPr>
      <w:r>
        <w:rPr>
          <w:rFonts w:hint="eastAsia"/>
          <w:color w:val="000000"/>
          <w:sz w:val="21"/>
          <w:szCs w:val="21"/>
        </w:rPr>
        <w:t>终端在正常工作状态下，按</w:t>
      </w:r>
      <w:r>
        <w:rPr>
          <w:color w:val="000000"/>
          <w:sz w:val="21"/>
          <w:szCs w:val="21"/>
        </w:rPr>
        <w:t>GB/T 17626.6</w:t>
      </w:r>
      <w:r>
        <w:rPr>
          <w:rFonts w:hint="eastAsia"/>
          <w:color w:val="000000"/>
          <w:sz w:val="21"/>
          <w:szCs w:val="21"/>
        </w:rPr>
        <w:t>-</w:t>
      </w:r>
      <w:r>
        <w:rPr>
          <w:color w:val="000000"/>
          <w:sz w:val="21"/>
          <w:szCs w:val="21"/>
        </w:rPr>
        <w:t>20</w:t>
      </w:r>
      <w:r>
        <w:rPr>
          <w:rFonts w:hint="eastAsia"/>
          <w:color w:val="000000"/>
          <w:sz w:val="21"/>
          <w:szCs w:val="21"/>
        </w:rPr>
        <w:t xml:space="preserve">17的规定，并在下述条件下进行试验： </w:t>
      </w:r>
    </w:p>
    <w:p w14:paraId="7DAE4F14">
      <w:pPr>
        <w:ind w:firstLine="420" w:firstLineChars="200"/>
        <w:rPr>
          <w:color w:val="000000"/>
          <w:sz w:val="21"/>
          <w:szCs w:val="21"/>
        </w:rPr>
      </w:pPr>
      <w:r>
        <w:rPr>
          <w:rFonts w:hint="eastAsia"/>
          <w:color w:val="000000"/>
          <w:sz w:val="21"/>
          <w:szCs w:val="21"/>
        </w:rPr>
        <w:t>a） 频率范围：</w:t>
      </w:r>
      <w:r>
        <w:rPr>
          <w:color w:val="000000"/>
          <w:sz w:val="21"/>
          <w:szCs w:val="21"/>
        </w:rPr>
        <w:t>150kHz</w:t>
      </w:r>
      <w:r>
        <w:rPr>
          <w:rFonts w:hint="eastAsia"/>
          <w:color w:val="000000"/>
          <w:sz w:val="21"/>
          <w:szCs w:val="21"/>
        </w:rPr>
        <w:t>～</w:t>
      </w:r>
      <w:r>
        <w:rPr>
          <w:color w:val="000000"/>
          <w:sz w:val="21"/>
          <w:szCs w:val="21"/>
        </w:rPr>
        <w:t>80MHz</w:t>
      </w:r>
      <w:r>
        <w:rPr>
          <w:rFonts w:hint="eastAsia"/>
          <w:color w:val="000000"/>
          <w:sz w:val="21"/>
          <w:szCs w:val="21"/>
        </w:rPr>
        <w:t>；</w:t>
      </w:r>
    </w:p>
    <w:p w14:paraId="231CA4AF">
      <w:pPr>
        <w:ind w:firstLine="420" w:firstLineChars="200"/>
        <w:rPr>
          <w:color w:val="000000"/>
          <w:sz w:val="21"/>
          <w:szCs w:val="21"/>
        </w:rPr>
      </w:pPr>
      <w:r>
        <w:rPr>
          <w:rFonts w:hint="eastAsia"/>
          <w:color w:val="000000"/>
          <w:sz w:val="21"/>
          <w:szCs w:val="21"/>
        </w:rPr>
        <w:t>b） 严酷等级：</w:t>
      </w:r>
      <w:r>
        <w:rPr>
          <w:color w:val="000000"/>
          <w:sz w:val="21"/>
          <w:szCs w:val="21"/>
        </w:rPr>
        <w:t>3</w:t>
      </w:r>
      <w:r>
        <w:rPr>
          <w:rFonts w:hint="eastAsia"/>
          <w:color w:val="000000"/>
          <w:sz w:val="21"/>
          <w:szCs w:val="21"/>
        </w:rPr>
        <w:t>；</w:t>
      </w:r>
    </w:p>
    <w:p w14:paraId="1CE68F24">
      <w:pPr>
        <w:ind w:firstLine="420" w:firstLineChars="200"/>
        <w:rPr>
          <w:color w:val="000000"/>
          <w:sz w:val="21"/>
          <w:szCs w:val="21"/>
        </w:rPr>
      </w:pPr>
      <w:r>
        <w:rPr>
          <w:rFonts w:hint="eastAsia"/>
          <w:color w:val="000000"/>
          <w:sz w:val="21"/>
          <w:szCs w:val="21"/>
        </w:rPr>
        <w:t>c） 试验电压：</w:t>
      </w:r>
      <w:r>
        <w:rPr>
          <w:color w:val="000000"/>
          <w:sz w:val="21"/>
          <w:szCs w:val="21"/>
        </w:rPr>
        <w:t>10V</w:t>
      </w:r>
      <w:r>
        <w:rPr>
          <w:rFonts w:hint="eastAsia"/>
          <w:color w:val="000000"/>
          <w:sz w:val="21"/>
          <w:szCs w:val="21"/>
        </w:rPr>
        <w:t>（非调制）；</w:t>
      </w:r>
    </w:p>
    <w:p w14:paraId="540E0915">
      <w:pPr>
        <w:ind w:firstLine="420" w:firstLineChars="200"/>
        <w:rPr>
          <w:color w:val="000000"/>
          <w:sz w:val="21"/>
          <w:szCs w:val="21"/>
        </w:rPr>
      </w:pPr>
      <w:r>
        <w:rPr>
          <w:rFonts w:hint="eastAsia"/>
          <w:color w:val="000000"/>
          <w:sz w:val="21"/>
          <w:szCs w:val="21"/>
        </w:rPr>
        <w:t xml:space="preserve">d） 正弦波 </w:t>
      </w:r>
      <w:r>
        <w:rPr>
          <w:color w:val="000000"/>
          <w:sz w:val="21"/>
          <w:szCs w:val="21"/>
        </w:rPr>
        <w:t>1kHz</w:t>
      </w:r>
      <w:r>
        <w:rPr>
          <w:rFonts w:hint="eastAsia"/>
          <w:color w:val="000000"/>
          <w:sz w:val="21"/>
          <w:szCs w:val="21"/>
        </w:rPr>
        <w:t>，</w:t>
      </w:r>
      <w:r>
        <w:rPr>
          <w:color w:val="000000"/>
          <w:sz w:val="21"/>
          <w:szCs w:val="21"/>
        </w:rPr>
        <w:t>80%</w:t>
      </w:r>
      <w:r>
        <w:rPr>
          <w:rFonts w:hint="eastAsia"/>
          <w:color w:val="000000"/>
          <w:sz w:val="21"/>
          <w:szCs w:val="21"/>
        </w:rPr>
        <w:t>幅度调制。</w:t>
      </w:r>
    </w:p>
    <w:p w14:paraId="397F3C87">
      <w:pPr>
        <w:ind w:firstLine="420" w:firstLineChars="200"/>
        <w:rPr>
          <w:color w:val="000000"/>
          <w:sz w:val="21"/>
          <w:szCs w:val="21"/>
        </w:rPr>
      </w:pPr>
      <w:r>
        <w:rPr>
          <w:rFonts w:hint="eastAsia"/>
          <w:color w:val="000000"/>
          <w:sz w:val="21"/>
          <w:szCs w:val="21"/>
        </w:rPr>
        <w:t>试验电压施加于终端的供电电源端和保护接地端，试验时通信单元不应发生损坏或死机现象，试验后工作正常。</w:t>
      </w:r>
    </w:p>
    <w:p w14:paraId="6141CEF9">
      <w:pPr>
        <w:pStyle w:val="36"/>
        <w:numPr>
          <w:ilvl w:val="2"/>
          <w:numId w:val="9"/>
        </w:numPr>
        <w:spacing w:before="156" w:after="156"/>
        <w:rPr>
          <w:szCs w:val="24"/>
        </w:rPr>
      </w:pPr>
      <w:r>
        <w:rPr>
          <w:rFonts w:hint="eastAsia"/>
          <w:szCs w:val="24"/>
        </w:rPr>
        <w:t>静电放电抗扰度</w:t>
      </w:r>
    </w:p>
    <w:p w14:paraId="34AE0EAF">
      <w:pPr>
        <w:ind w:firstLine="420" w:firstLineChars="200"/>
        <w:rPr>
          <w:color w:val="000000"/>
          <w:sz w:val="21"/>
          <w:szCs w:val="21"/>
        </w:rPr>
      </w:pPr>
      <w:r>
        <w:rPr>
          <w:rFonts w:hint="eastAsia"/>
          <w:color w:val="000000"/>
          <w:sz w:val="21"/>
          <w:szCs w:val="21"/>
        </w:rPr>
        <w:t>终端在正常工作状态下，按</w:t>
      </w:r>
      <w:r>
        <w:rPr>
          <w:color w:val="000000"/>
          <w:sz w:val="21"/>
          <w:szCs w:val="21"/>
        </w:rPr>
        <w:t>GB/T 17626.2</w:t>
      </w:r>
      <w:r>
        <w:rPr>
          <w:rFonts w:hint="eastAsia"/>
          <w:color w:val="000000"/>
          <w:sz w:val="21"/>
          <w:szCs w:val="21"/>
        </w:rPr>
        <w:t>-</w:t>
      </w:r>
      <w:r>
        <w:rPr>
          <w:color w:val="000000"/>
          <w:sz w:val="21"/>
          <w:szCs w:val="21"/>
        </w:rPr>
        <w:t>20</w:t>
      </w:r>
      <w:r>
        <w:rPr>
          <w:rFonts w:hint="eastAsia"/>
          <w:color w:val="000000"/>
          <w:sz w:val="21"/>
          <w:szCs w:val="21"/>
        </w:rPr>
        <w:t xml:space="preserve">18的规定，并在下述条件下进行试验： </w:t>
      </w:r>
    </w:p>
    <w:p w14:paraId="14761C74">
      <w:pPr>
        <w:ind w:firstLine="420" w:firstLineChars="200"/>
        <w:rPr>
          <w:color w:val="000000"/>
          <w:sz w:val="21"/>
          <w:szCs w:val="21"/>
        </w:rPr>
      </w:pPr>
      <w:r>
        <w:rPr>
          <w:rFonts w:hint="eastAsia"/>
          <w:color w:val="000000"/>
          <w:sz w:val="21"/>
          <w:szCs w:val="21"/>
        </w:rPr>
        <w:t>a） 严酷等级：</w:t>
      </w:r>
      <w:r>
        <w:rPr>
          <w:color w:val="000000"/>
          <w:sz w:val="21"/>
          <w:szCs w:val="21"/>
        </w:rPr>
        <w:t>4</w:t>
      </w:r>
      <w:r>
        <w:rPr>
          <w:rFonts w:hint="eastAsia"/>
          <w:color w:val="000000"/>
          <w:sz w:val="21"/>
          <w:szCs w:val="21"/>
        </w:rPr>
        <w:t>；</w:t>
      </w:r>
    </w:p>
    <w:p w14:paraId="122E4F8E">
      <w:pPr>
        <w:ind w:firstLine="420" w:firstLineChars="200"/>
        <w:rPr>
          <w:color w:val="000000"/>
          <w:sz w:val="21"/>
          <w:szCs w:val="21"/>
        </w:rPr>
      </w:pPr>
      <w:r>
        <w:rPr>
          <w:rFonts w:hint="eastAsia"/>
          <w:color w:val="000000"/>
          <w:sz w:val="21"/>
          <w:szCs w:val="21"/>
        </w:rPr>
        <w:t>b） 试验电压：</w:t>
      </w:r>
      <w:r>
        <w:rPr>
          <w:color w:val="000000"/>
          <w:sz w:val="21"/>
          <w:szCs w:val="21"/>
        </w:rPr>
        <w:t>8kV</w:t>
      </w:r>
      <w:r>
        <w:rPr>
          <w:rFonts w:hint="eastAsia"/>
          <w:color w:val="000000"/>
          <w:sz w:val="21"/>
          <w:szCs w:val="21"/>
        </w:rPr>
        <w:t>（接触放电）、1</w:t>
      </w:r>
      <w:r>
        <w:rPr>
          <w:color w:val="000000"/>
          <w:sz w:val="21"/>
          <w:szCs w:val="21"/>
        </w:rPr>
        <w:t>5</w:t>
      </w:r>
      <w:r>
        <w:rPr>
          <w:rFonts w:hint="eastAsia"/>
          <w:color w:val="000000"/>
          <w:sz w:val="21"/>
          <w:szCs w:val="21"/>
        </w:rPr>
        <w:t xml:space="preserve">KV（空气放电）； </w:t>
      </w:r>
    </w:p>
    <w:p w14:paraId="15AEC405">
      <w:pPr>
        <w:ind w:firstLine="420" w:firstLineChars="200"/>
        <w:rPr>
          <w:color w:val="000000"/>
          <w:sz w:val="21"/>
          <w:szCs w:val="21"/>
        </w:rPr>
      </w:pPr>
      <w:r>
        <w:rPr>
          <w:rFonts w:hint="eastAsia"/>
          <w:color w:val="000000"/>
          <w:sz w:val="21"/>
          <w:szCs w:val="21"/>
        </w:rPr>
        <w:t>c） 直接放电。施加部位：在操作人员正常使用时可能触及的外壳和操作部分；</w:t>
      </w:r>
    </w:p>
    <w:p w14:paraId="6CA2A797">
      <w:pPr>
        <w:ind w:firstLine="420" w:firstLineChars="200"/>
        <w:rPr>
          <w:color w:val="000000"/>
          <w:sz w:val="21"/>
          <w:szCs w:val="21"/>
        </w:rPr>
      </w:pPr>
      <w:r>
        <w:rPr>
          <w:rFonts w:hint="eastAsia"/>
          <w:color w:val="000000"/>
          <w:sz w:val="21"/>
          <w:szCs w:val="21"/>
        </w:rPr>
        <w:t>d） 间接放电。施加部位：通信单元各个侧面；</w:t>
      </w:r>
    </w:p>
    <w:p w14:paraId="37043967">
      <w:pPr>
        <w:ind w:firstLine="420" w:firstLineChars="200"/>
        <w:rPr>
          <w:color w:val="000000"/>
          <w:sz w:val="21"/>
          <w:szCs w:val="21"/>
        </w:rPr>
      </w:pPr>
      <w:r>
        <w:rPr>
          <w:rFonts w:hint="eastAsia"/>
          <w:color w:val="000000"/>
          <w:sz w:val="21"/>
          <w:szCs w:val="21"/>
        </w:rPr>
        <w:t>e） 每个敏感试验点放电次数：正负极性各</w:t>
      </w:r>
      <w:r>
        <w:rPr>
          <w:color w:val="000000"/>
          <w:sz w:val="21"/>
          <w:szCs w:val="21"/>
        </w:rPr>
        <w:t>10</w:t>
      </w:r>
      <w:r>
        <w:rPr>
          <w:rFonts w:hint="eastAsia"/>
          <w:color w:val="000000"/>
          <w:sz w:val="21"/>
          <w:szCs w:val="21"/>
        </w:rPr>
        <w:t>次，每次放电间隔至少为</w:t>
      </w:r>
      <w:r>
        <w:rPr>
          <w:color w:val="000000"/>
          <w:sz w:val="21"/>
          <w:szCs w:val="21"/>
        </w:rPr>
        <w:t>1s</w:t>
      </w:r>
      <w:r>
        <w:rPr>
          <w:rFonts w:hint="eastAsia"/>
          <w:color w:val="000000"/>
          <w:sz w:val="21"/>
          <w:szCs w:val="21"/>
        </w:rPr>
        <w:t>。</w:t>
      </w:r>
    </w:p>
    <w:p w14:paraId="381AED79">
      <w:pPr>
        <w:ind w:firstLine="420" w:firstLineChars="200"/>
        <w:rPr>
          <w:color w:val="000000"/>
          <w:sz w:val="21"/>
          <w:szCs w:val="21"/>
        </w:rPr>
      </w:pPr>
      <w:r>
        <w:rPr>
          <w:rFonts w:hint="eastAsia"/>
          <w:color w:val="000000"/>
          <w:sz w:val="21"/>
          <w:szCs w:val="21"/>
        </w:rPr>
        <w:t>如通信单元的外壳为金属材料，则直接放电采用接触放电；如通信单元的外壳为绝缘材料，则直接放电采用空气放电。</w:t>
      </w:r>
    </w:p>
    <w:p w14:paraId="7C15189D">
      <w:pPr>
        <w:ind w:firstLine="420" w:firstLineChars="200"/>
        <w:rPr>
          <w:color w:val="000000"/>
          <w:sz w:val="21"/>
          <w:szCs w:val="21"/>
        </w:rPr>
      </w:pPr>
      <w:r>
        <w:rPr>
          <w:rFonts w:hint="eastAsia"/>
          <w:color w:val="000000"/>
          <w:sz w:val="21"/>
          <w:szCs w:val="21"/>
        </w:rPr>
        <w:t>试验时，终端可以出现短时通信中断；试验后，通信单元工作正常。</w:t>
      </w:r>
    </w:p>
    <w:p w14:paraId="505E412F">
      <w:pPr>
        <w:pStyle w:val="36"/>
        <w:numPr>
          <w:ilvl w:val="2"/>
          <w:numId w:val="9"/>
        </w:numPr>
        <w:spacing w:before="156" w:after="156"/>
        <w:rPr>
          <w:szCs w:val="24"/>
        </w:rPr>
      </w:pPr>
      <w:r>
        <w:rPr>
          <w:rFonts w:hint="eastAsia"/>
          <w:szCs w:val="24"/>
        </w:rPr>
        <w:t>电快速瞬变脉冲群抗扰度</w:t>
      </w:r>
    </w:p>
    <w:p w14:paraId="4AF7958B">
      <w:pPr>
        <w:ind w:firstLine="420" w:firstLineChars="200"/>
        <w:rPr>
          <w:color w:val="000000"/>
          <w:sz w:val="21"/>
          <w:szCs w:val="21"/>
        </w:rPr>
      </w:pPr>
      <w:r>
        <w:rPr>
          <w:rFonts w:hint="eastAsia"/>
          <w:color w:val="000000"/>
          <w:sz w:val="21"/>
          <w:szCs w:val="21"/>
        </w:rPr>
        <w:t>按</w:t>
      </w:r>
      <w:r>
        <w:rPr>
          <w:color w:val="000000"/>
          <w:sz w:val="21"/>
          <w:szCs w:val="21"/>
        </w:rPr>
        <w:t>GB/T 17626.4</w:t>
      </w:r>
      <w:r>
        <w:rPr>
          <w:rFonts w:hint="eastAsia"/>
          <w:color w:val="000000"/>
          <w:sz w:val="21"/>
          <w:szCs w:val="21"/>
        </w:rPr>
        <w:t>-</w:t>
      </w:r>
      <w:r>
        <w:rPr>
          <w:color w:val="000000"/>
          <w:sz w:val="21"/>
          <w:szCs w:val="21"/>
        </w:rPr>
        <w:t>20</w:t>
      </w:r>
      <w:r>
        <w:rPr>
          <w:rFonts w:hint="eastAsia"/>
          <w:color w:val="000000"/>
          <w:sz w:val="21"/>
          <w:szCs w:val="21"/>
        </w:rPr>
        <w:t>1</w:t>
      </w:r>
      <w:r>
        <w:rPr>
          <w:color w:val="000000"/>
          <w:sz w:val="21"/>
          <w:szCs w:val="21"/>
        </w:rPr>
        <w:t>8</w:t>
      </w:r>
      <w:r>
        <w:rPr>
          <w:rFonts w:hint="eastAsia"/>
          <w:color w:val="000000"/>
          <w:sz w:val="21"/>
          <w:szCs w:val="21"/>
        </w:rPr>
        <w:t>的规定，并在下述条件下进行试验：a） 通信单元在工作状态下，试验电压施加于终端的供电电源端和保护接地端：</w:t>
      </w:r>
    </w:p>
    <w:p w14:paraId="1730DDCD">
      <w:pPr>
        <w:ind w:firstLine="840" w:firstLineChars="400"/>
        <w:rPr>
          <w:color w:val="000000"/>
          <w:sz w:val="21"/>
          <w:szCs w:val="21"/>
        </w:rPr>
      </w:pPr>
      <w:r>
        <w:rPr>
          <w:rFonts w:hint="eastAsia"/>
          <w:color w:val="000000"/>
          <w:sz w:val="21"/>
          <w:szCs w:val="21"/>
        </w:rPr>
        <w:t>1） 严酷等级：4；</w:t>
      </w:r>
    </w:p>
    <w:p w14:paraId="48B9AEF4">
      <w:pPr>
        <w:ind w:firstLine="840" w:firstLineChars="400"/>
        <w:rPr>
          <w:color w:val="000000"/>
          <w:sz w:val="21"/>
          <w:szCs w:val="21"/>
        </w:rPr>
      </w:pPr>
      <w:r>
        <w:rPr>
          <w:rFonts w:hint="eastAsia"/>
          <w:color w:val="000000"/>
          <w:sz w:val="21"/>
          <w:szCs w:val="21"/>
        </w:rPr>
        <w:t>2） 试验电压：±4kV；</w:t>
      </w:r>
    </w:p>
    <w:p w14:paraId="1679AA4C">
      <w:pPr>
        <w:ind w:firstLine="840" w:firstLineChars="400"/>
        <w:rPr>
          <w:color w:val="000000"/>
          <w:sz w:val="21"/>
          <w:szCs w:val="21"/>
        </w:rPr>
      </w:pPr>
      <w:r>
        <w:rPr>
          <w:rFonts w:hint="eastAsia"/>
          <w:color w:val="000000"/>
          <w:sz w:val="21"/>
          <w:szCs w:val="21"/>
        </w:rPr>
        <w:t>3） 重复频率：2.5kHz、5kHz或100kHz；</w:t>
      </w:r>
    </w:p>
    <w:p w14:paraId="5486EF6A">
      <w:pPr>
        <w:ind w:firstLine="840" w:firstLineChars="400"/>
        <w:rPr>
          <w:color w:val="000000"/>
          <w:sz w:val="21"/>
          <w:szCs w:val="21"/>
        </w:rPr>
      </w:pPr>
      <w:r>
        <w:rPr>
          <w:rFonts w:hint="eastAsia"/>
          <w:color w:val="000000"/>
          <w:sz w:val="21"/>
          <w:szCs w:val="21"/>
        </w:rPr>
        <w:t>4） 试验时间：1min/次；</w:t>
      </w:r>
    </w:p>
    <w:p w14:paraId="579B8C20">
      <w:pPr>
        <w:ind w:firstLine="840" w:firstLineChars="400"/>
        <w:rPr>
          <w:color w:val="000000"/>
          <w:sz w:val="21"/>
          <w:szCs w:val="21"/>
        </w:rPr>
      </w:pPr>
      <w:r>
        <w:rPr>
          <w:rFonts w:hint="eastAsia"/>
          <w:color w:val="000000"/>
          <w:sz w:val="21"/>
          <w:szCs w:val="21"/>
        </w:rPr>
        <w:t>5） 施加试验电压次数：正负极性各 3 次。</w:t>
      </w:r>
    </w:p>
    <w:p w14:paraId="055B8092">
      <w:pPr>
        <w:ind w:firstLine="420" w:firstLineChars="200"/>
        <w:rPr>
          <w:color w:val="000000"/>
          <w:sz w:val="21"/>
          <w:szCs w:val="21"/>
        </w:rPr>
      </w:pPr>
      <w:r>
        <w:rPr>
          <w:rFonts w:hint="eastAsia"/>
          <w:color w:val="000000"/>
          <w:sz w:val="21"/>
          <w:szCs w:val="21"/>
        </w:rPr>
        <w:t>在对电源回路进行试验时，可以出现短时通信中断；试验后，通信单元应能正常工作。</w:t>
      </w:r>
    </w:p>
    <w:p w14:paraId="22600575">
      <w:pPr>
        <w:widowControl w:val="0"/>
        <w:autoSpaceDE w:val="0"/>
        <w:autoSpaceDN w:val="0"/>
        <w:adjustRightInd w:val="0"/>
        <w:ind w:left="480" w:leftChars="200"/>
        <w:rPr>
          <w:rFonts w:hAnsi="Times New Roman"/>
          <w:sz w:val="21"/>
          <w:szCs w:val="21"/>
        </w:rPr>
      </w:pPr>
      <w:r>
        <w:rPr>
          <w:rFonts w:hint="eastAsia"/>
          <w:color w:val="000000"/>
          <w:sz w:val="21"/>
          <w:szCs w:val="21"/>
        </w:rPr>
        <w:t>b）</w:t>
      </w:r>
      <w:r>
        <w:rPr>
          <w:rFonts w:hint="eastAsia" w:hAnsi="Times New Roman"/>
          <w:sz w:val="21"/>
          <w:szCs w:val="21"/>
        </w:rPr>
        <w:t>通信单元在正常工作状态下，用电容耦合夹将试验电压耦合至通信信号输入</w:t>
      </w:r>
      <w:r>
        <w:rPr>
          <w:rFonts w:ascii="TimesNewRomanPSMT" w:hAnsi="Times New Roman" w:eastAsia="TimesNewRomanPSMT" w:cs="TimesNewRomanPSMT"/>
          <w:sz w:val="21"/>
          <w:szCs w:val="21"/>
        </w:rPr>
        <w:t>/</w:t>
      </w:r>
      <w:r>
        <w:rPr>
          <w:rFonts w:hint="eastAsia" w:hAnsi="Times New Roman"/>
          <w:sz w:val="21"/>
          <w:szCs w:val="21"/>
        </w:rPr>
        <w:t>输出线路上：</w:t>
      </w:r>
    </w:p>
    <w:p w14:paraId="58BE179E">
      <w:pPr>
        <w:widowControl w:val="0"/>
        <w:autoSpaceDE w:val="0"/>
        <w:autoSpaceDN w:val="0"/>
        <w:adjustRightInd w:val="0"/>
        <w:ind w:left="720" w:leftChars="300" w:firstLine="130" w:firstLineChars="62"/>
        <w:rPr>
          <w:rFonts w:hAnsi="Times New Roman"/>
          <w:sz w:val="21"/>
          <w:szCs w:val="21"/>
        </w:rPr>
      </w:pPr>
      <w:r>
        <w:rPr>
          <w:rFonts w:hAnsi="Times New Roman"/>
          <w:sz w:val="21"/>
          <w:szCs w:val="21"/>
        </w:rPr>
        <w:t>1</w:t>
      </w:r>
      <w:r>
        <w:rPr>
          <w:rFonts w:hint="eastAsia" w:hAnsi="Times New Roman"/>
          <w:sz w:val="21"/>
          <w:szCs w:val="21"/>
        </w:rPr>
        <w:t>）严酷等级：</w:t>
      </w:r>
      <w:r>
        <w:rPr>
          <w:rFonts w:hAnsi="Times New Roman"/>
          <w:sz w:val="21"/>
          <w:szCs w:val="21"/>
        </w:rPr>
        <w:t>3</w:t>
      </w:r>
      <w:r>
        <w:rPr>
          <w:rFonts w:hint="eastAsia" w:hAnsi="Times New Roman"/>
          <w:sz w:val="21"/>
          <w:szCs w:val="21"/>
        </w:rPr>
        <w:t>；</w:t>
      </w:r>
    </w:p>
    <w:p w14:paraId="0F9CF87F">
      <w:pPr>
        <w:widowControl w:val="0"/>
        <w:autoSpaceDE w:val="0"/>
        <w:autoSpaceDN w:val="0"/>
        <w:adjustRightInd w:val="0"/>
        <w:ind w:left="720" w:leftChars="300" w:firstLine="130" w:firstLineChars="62"/>
        <w:rPr>
          <w:rFonts w:hAnsi="Times New Roman"/>
          <w:sz w:val="21"/>
          <w:szCs w:val="21"/>
        </w:rPr>
      </w:pPr>
      <w:r>
        <w:rPr>
          <w:rFonts w:hAnsi="Times New Roman"/>
          <w:sz w:val="21"/>
          <w:szCs w:val="21"/>
        </w:rPr>
        <w:t>2</w:t>
      </w:r>
      <w:r>
        <w:rPr>
          <w:rFonts w:hint="eastAsia" w:hAnsi="Times New Roman"/>
          <w:sz w:val="21"/>
          <w:szCs w:val="21"/>
        </w:rPr>
        <w:t>）试验电压：±</w:t>
      </w:r>
      <w:r>
        <w:rPr>
          <w:rFonts w:hAnsi="Times New Roman"/>
          <w:sz w:val="21"/>
          <w:szCs w:val="21"/>
        </w:rPr>
        <w:t>1kV</w:t>
      </w:r>
      <w:r>
        <w:rPr>
          <w:rFonts w:hint="eastAsia" w:hAnsi="Times New Roman"/>
          <w:sz w:val="21"/>
          <w:szCs w:val="21"/>
        </w:rPr>
        <w:t>；</w:t>
      </w:r>
    </w:p>
    <w:p w14:paraId="13F5C96D">
      <w:pPr>
        <w:widowControl w:val="0"/>
        <w:autoSpaceDE w:val="0"/>
        <w:autoSpaceDN w:val="0"/>
        <w:adjustRightInd w:val="0"/>
        <w:ind w:left="720" w:leftChars="300" w:firstLine="130" w:firstLineChars="62"/>
        <w:rPr>
          <w:rFonts w:hAnsi="Times New Roman"/>
          <w:sz w:val="21"/>
          <w:szCs w:val="21"/>
        </w:rPr>
      </w:pPr>
      <w:r>
        <w:rPr>
          <w:rFonts w:hAnsi="Times New Roman"/>
          <w:sz w:val="21"/>
          <w:szCs w:val="21"/>
        </w:rPr>
        <w:t>3</w:t>
      </w:r>
      <w:r>
        <w:rPr>
          <w:rFonts w:hint="eastAsia" w:hAnsi="Times New Roman"/>
          <w:sz w:val="21"/>
          <w:szCs w:val="21"/>
        </w:rPr>
        <w:t>）重复频率：</w:t>
      </w:r>
      <w:r>
        <w:rPr>
          <w:rFonts w:hAnsi="Times New Roman"/>
          <w:sz w:val="21"/>
          <w:szCs w:val="21"/>
        </w:rPr>
        <w:t>5kHz</w:t>
      </w:r>
      <w:r>
        <w:rPr>
          <w:rFonts w:hint="eastAsia" w:hAnsi="Times New Roman"/>
          <w:sz w:val="21"/>
          <w:szCs w:val="21"/>
        </w:rPr>
        <w:t>或</w:t>
      </w:r>
      <w:r>
        <w:rPr>
          <w:rFonts w:hAnsi="Times New Roman"/>
          <w:sz w:val="21"/>
          <w:szCs w:val="21"/>
        </w:rPr>
        <w:t>100kHz</w:t>
      </w:r>
      <w:r>
        <w:rPr>
          <w:rFonts w:hint="eastAsia" w:hAnsi="Times New Roman"/>
          <w:sz w:val="21"/>
          <w:szCs w:val="21"/>
        </w:rPr>
        <w:t>；</w:t>
      </w:r>
    </w:p>
    <w:p w14:paraId="573D114B">
      <w:pPr>
        <w:widowControl w:val="0"/>
        <w:autoSpaceDE w:val="0"/>
        <w:autoSpaceDN w:val="0"/>
        <w:adjustRightInd w:val="0"/>
        <w:ind w:left="720" w:leftChars="300" w:firstLine="130" w:firstLineChars="62"/>
        <w:rPr>
          <w:rFonts w:hAnsi="Times New Roman"/>
          <w:sz w:val="21"/>
          <w:szCs w:val="21"/>
        </w:rPr>
      </w:pPr>
      <w:r>
        <w:rPr>
          <w:rFonts w:hAnsi="Times New Roman"/>
          <w:sz w:val="21"/>
          <w:szCs w:val="21"/>
        </w:rPr>
        <w:t>4</w:t>
      </w:r>
      <w:r>
        <w:rPr>
          <w:rFonts w:hint="eastAsia" w:hAnsi="Times New Roman"/>
          <w:sz w:val="21"/>
          <w:szCs w:val="21"/>
        </w:rPr>
        <w:t>）试验时间：</w:t>
      </w:r>
      <w:r>
        <w:rPr>
          <w:rFonts w:hAnsi="Times New Roman"/>
          <w:sz w:val="21"/>
          <w:szCs w:val="21"/>
        </w:rPr>
        <w:t>1min/</w:t>
      </w:r>
      <w:r>
        <w:rPr>
          <w:rFonts w:hint="eastAsia" w:hAnsi="Times New Roman"/>
          <w:sz w:val="21"/>
          <w:szCs w:val="21"/>
        </w:rPr>
        <w:t>次；</w:t>
      </w:r>
    </w:p>
    <w:p w14:paraId="5CCD5B03">
      <w:pPr>
        <w:widowControl w:val="0"/>
        <w:autoSpaceDE w:val="0"/>
        <w:autoSpaceDN w:val="0"/>
        <w:adjustRightInd w:val="0"/>
        <w:ind w:left="720" w:leftChars="300" w:firstLine="130" w:firstLineChars="62"/>
        <w:rPr>
          <w:rFonts w:hAnsi="Times New Roman"/>
          <w:sz w:val="21"/>
          <w:szCs w:val="21"/>
        </w:rPr>
      </w:pPr>
      <w:r>
        <w:rPr>
          <w:rFonts w:hAnsi="Times New Roman"/>
          <w:sz w:val="21"/>
          <w:szCs w:val="21"/>
        </w:rPr>
        <w:t>5</w:t>
      </w:r>
      <w:r>
        <w:rPr>
          <w:rFonts w:hint="eastAsia" w:hAnsi="Times New Roman"/>
          <w:sz w:val="21"/>
          <w:szCs w:val="21"/>
        </w:rPr>
        <w:t>）施加试验电压次数：正负极性各</w:t>
      </w:r>
      <w:r>
        <w:rPr>
          <w:rFonts w:ascii="TimesNewRomanPSMT" w:hAnsi="Times New Roman" w:eastAsia="TimesNewRomanPSMT" w:cs="TimesNewRomanPSMT"/>
          <w:sz w:val="21"/>
          <w:szCs w:val="21"/>
        </w:rPr>
        <w:t>3</w:t>
      </w:r>
      <w:r>
        <w:rPr>
          <w:rFonts w:hint="eastAsia" w:hAnsi="Times New Roman"/>
          <w:sz w:val="21"/>
          <w:szCs w:val="21"/>
        </w:rPr>
        <w:t>次。</w:t>
      </w:r>
    </w:p>
    <w:p w14:paraId="4D296A17">
      <w:pPr>
        <w:widowControl w:val="0"/>
        <w:autoSpaceDE w:val="0"/>
        <w:autoSpaceDN w:val="0"/>
        <w:adjustRightInd w:val="0"/>
        <w:ind w:left="720" w:leftChars="300" w:firstLine="130" w:firstLineChars="62"/>
      </w:pPr>
      <w:r>
        <w:rPr>
          <w:rFonts w:hint="eastAsia" w:hAnsi="Times New Roman"/>
          <w:sz w:val="21"/>
          <w:szCs w:val="21"/>
        </w:rPr>
        <w:t>在对各回路进行试验时，可以出现短时通信中断和液晶显示瞬时闪屏，其他功能和性能应正常；试验后，通信单元应能正常工作，功能和性能应符合相关规定。</w:t>
      </w:r>
    </w:p>
    <w:p w14:paraId="48D7D2B1">
      <w:pPr>
        <w:pStyle w:val="36"/>
        <w:numPr>
          <w:ilvl w:val="2"/>
          <w:numId w:val="9"/>
        </w:numPr>
        <w:spacing w:before="156" w:after="156"/>
        <w:rPr>
          <w:szCs w:val="24"/>
        </w:rPr>
      </w:pPr>
      <w:r>
        <w:rPr>
          <w:rFonts w:hint="eastAsia"/>
          <w:szCs w:val="24"/>
        </w:rPr>
        <w:t>阻尼振荡波抗扰度</w:t>
      </w:r>
    </w:p>
    <w:p w14:paraId="1ABA9E14">
      <w:pPr>
        <w:ind w:firstLine="420" w:firstLineChars="200"/>
        <w:rPr>
          <w:color w:val="000000"/>
          <w:sz w:val="21"/>
          <w:szCs w:val="21"/>
        </w:rPr>
      </w:pPr>
      <w:r>
        <w:rPr>
          <w:rFonts w:hint="eastAsia"/>
          <w:color w:val="000000"/>
          <w:sz w:val="21"/>
          <w:szCs w:val="21"/>
        </w:rPr>
        <w:t>终端在正常工作状态下，按</w:t>
      </w:r>
      <w:r>
        <w:rPr>
          <w:color w:val="000000"/>
          <w:sz w:val="21"/>
          <w:szCs w:val="21"/>
        </w:rPr>
        <w:t>GB/T 17626.18</w:t>
      </w:r>
      <w:r>
        <w:rPr>
          <w:rFonts w:hint="eastAsia"/>
          <w:color w:val="000000"/>
          <w:sz w:val="21"/>
          <w:szCs w:val="21"/>
        </w:rPr>
        <w:t>-20</w:t>
      </w:r>
      <w:r>
        <w:rPr>
          <w:color w:val="000000"/>
          <w:sz w:val="21"/>
          <w:szCs w:val="21"/>
        </w:rPr>
        <w:t>16</w:t>
      </w:r>
      <w:r>
        <w:rPr>
          <w:rFonts w:hint="eastAsia"/>
          <w:color w:val="000000"/>
          <w:sz w:val="21"/>
          <w:szCs w:val="21"/>
        </w:rPr>
        <w:t xml:space="preserve">的规定，并在下述条件下进行试验： </w:t>
      </w:r>
    </w:p>
    <w:p w14:paraId="044F2D93">
      <w:pPr>
        <w:ind w:firstLine="420" w:firstLineChars="200"/>
        <w:rPr>
          <w:color w:val="000000"/>
          <w:sz w:val="21"/>
          <w:szCs w:val="21"/>
        </w:rPr>
      </w:pPr>
      <w:r>
        <w:rPr>
          <w:rFonts w:hint="eastAsia"/>
          <w:color w:val="000000"/>
          <w:sz w:val="21"/>
          <w:szCs w:val="21"/>
        </w:rPr>
        <w:t>a） 电压上升时间（第一峰）：</w:t>
      </w:r>
      <w:r>
        <w:rPr>
          <w:color w:val="000000"/>
          <w:sz w:val="21"/>
          <w:szCs w:val="21"/>
        </w:rPr>
        <w:t>75ns</w:t>
      </w:r>
      <w:r>
        <w:rPr>
          <w:rFonts w:hint="eastAsia"/>
          <w:color w:val="000000"/>
          <w:sz w:val="21"/>
          <w:szCs w:val="21"/>
        </w:rPr>
        <w:t>±</w:t>
      </w:r>
      <w:r>
        <w:rPr>
          <w:color w:val="000000"/>
          <w:sz w:val="21"/>
          <w:szCs w:val="21"/>
        </w:rPr>
        <w:t>15ns</w:t>
      </w:r>
      <w:r>
        <w:rPr>
          <w:rFonts w:hint="eastAsia"/>
          <w:color w:val="000000"/>
          <w:sz w:val="21"/>
          <w:szCs w:val="21"/>
        </w:rPr>
        <w:t>；</w:t>
      </w:r>
    </w:p>
    <w:p w14:paraId="6C941EBE">
      <w:pPr>
        <w:ind w:firstLine="420" w:firstLineChars="200"/>
        <w:rPr>
          <w:color w:val="000000"/>
          <w:sz w:val="21"/>
          <w:szCs w:val="21"/>
        </w:rPr>
      </w:pPr>
      <w:r>
        <w:rPr>
          <w:rFonts w:hint="eastAsia"/>
          <w:color w:val="000000"/>
          <w:sz w:val="21"/>
          <w:szCs w:val="21"/>
        </w:rPr>
        <w:t>b） 振荡频率：</w:t>
      </w:r>
      <w:r>
        <w:rPr>
          <w:color w:val="000000"/>
          <w:sz w:val="21"/>
          <w:szCs w:val="21"/>
        </w:rPr>
        <w:t>1MHz</w:t>
      </w:r>
      <w:r>
        <w:rPr>
          <w:rFonts w:hint="eastAsia"/>
          <w:color w:val="000000"/>
          <w:sz w:val="21"/>
          <w:szCs w:val="21"/>
        </w:rPr>
        <w:t>±</w:t>
      </w:r>
      <w:r>
        <w:rPr>
          <w:color w:val="000000"/>
          <w:sz w:val="21"/>
          <w:szCs w:val="21"/>
        </w:rPr>
        <w:t>0.1MHz</w:t>
      </w:r>
      <w:r>
        <w:rPr>
          <w:rFonts w:hint="eastAsia"/>
          <w:color w:val="000000"/>
          <w:sz w:val="21"/>
          <w:szCs w:val="21"/>
        </w:rPr>
        <w:t>；</w:t>
      </w:r>
    </w:p>
    <w:p w14:paraId="096C3DA9">
      <w:pPr>
        <w:ind w:firstLine="420" w:firstLineChars="200"/>
        <w:rPr>
          <w:color w:val="000000"/>
          <w:sz w:val="21"/>
          <w:szCs w:val="21"/>
        </w:rPr>
      </w:pPr>
      <w:r>
        <w:rPr>
          <w:rFonts w:hint="eastAsia"/>
          <w:color w:val="000000"/>
          <w:sz w:val="21"/>
          <w:szCs w:val="21"/>
        </w:rPr>
        <w:t>c） 重复率：至少</w:t>
      </w:r>
      <w:r>
        <w:rPr>
          <w:color w:val="000000"/>
          <w:sz w:val="21"/>
          <w:szCs w:val="21"/>
        </w:rPr>
        <w:t>400/s</w:t>
      </w:r>
      <w:r>
        <w:rPr>
          <w:rFonts w:hint="eastAsia"/>
          <w:color w:val="000000"/>
          <w:sz w:val="21"/>
          <w:szCs w:val="21"/>
        </w:rPr>
        <w:t>；</w:t>
      </w:r>
    </w:p>
    <w:p w14:paraId="18863FC2">
      <w:pPr>
        <w:ind w:firstLine="420" w:firstLineChars="200"/>
        <w:rPr>
          <w:color w:val="000000"/>
          <w:sz w:val="21"/>
          <w:szCs w:val="21"/>
        </w:rPr>
      </w:pPr>
      <w:r>
        <w:rPr>
          <w:rFonts w:hint="eastAsia"/>
          <w:color w:val="000000"/>
          <w:sz w:val="21"/>
          <w:szCs w:val="21"/>
        </w:rPr>
        <w:t>d） 衰减：第三周期和第六周期之间减至峰值的</w:t>
      </w:r>
      <w:r>
        <w:rPr>
          <w:color w:val="000000"/>
          <w:sz w:val="21"/>
          <w:szCs w:val="21"/>
        </w:rPr>
        <w:t>50%</w:t>
      </w:r>
      <w:r>
        <w:rPr>
          <w:rFonts w:hint="eastAsia"/>
          <w:color w:val="000000"/>
          <w:sz w:val="21"/>
          <w:szCs w:val="21"/>
        </w:rPr>
        <w:t>；</w:t>
      </w:r>
    </w:p>
    <w:p w14:paraId="7148B444">
      <w:pPr>
        <w:ind w:firstLine="420" w:firstLineChars="200"/>
        <w:rPr>
          <w:color w:val="000000"/>
          <w:sz w:val="21"/>
          <w:szCs w:val="21"/>
        </w:rPr>
      </w:pPr>
      <w:r>
        <w:rPr>
          <w:rFonts w:hint="eastAsia"/>
          <w:color w:val="000000"/>
          <w:sz w:val="21"/>
          <w:szCs w:val="21"/>
        </w:rPr>
        <w:t>e） 脉冲持续时间：不小于</w:t>
      </w:r>
      <w:r>
        <w:rPr>
          <w:color w:val="000000"/>
          <w:sz w:val="21"/>
          <w:szCs w:val="21"/>
        </w:rPr>
        <w:t>2s</w:t>
      </w:r>
      <w:r>
        <w:rPr>
          <w:rFonts w:hint="eastAsia"/>
          <w:color w:val="000000"/>
          <w:sz w:val="21"/>
          <w:szCs w:val="21"/>
        </w:rPr>
        <w:t>；</w:t>
      </w:r>
    </w:p>
    <w:p w14:paraId="0D3876CA">
      <w:pPr>
        <w:ind w:firstLine="420" w:firstLineChars="200"/>
        <w:rPr>
          <w:color w:val="000000"/>
          <w:sz w:val="21"/>
          <w:szCs w:val="21"/>
        </w:rPr>
      </w:pPr>
      <w:r>
        <w:rPr>
          <w:rFonts w:hint="eastAsia"/>
          <w:color w:val="000000"/>
          <w:sz w:val="21"/>
          <w:szCs w:val="21"/>
        </w:rPr>
        <w:t>f） 输出阻抗：</w:t>
      </w:r>
      <w:r>
        <w:rPr>
          <w:color w:val="000000"/>
          <w:sz w:val="21"/>
          <w:szCs w:val="21"/>
        </w:rPr>
        <w:t>200</w:t>
      </w:r>
      <w:r>
        <w:rPr/>
        <w:sym w:font="Symbol" w:char="F057"/>
      </w:r>
      <w:r>
        <w:rPr>
          <w:rFonts w:hint="eastAsia"/>
          <w:color w:val="000000"/>
          <w:sz w:val="21"/>
          <w:szCs w:val="21"/>
        </w:rPr>
        <w:t>±</w:t>
      </w:r>
      <w:r>
        <w:rPr>
          <w:color w:val="000000"/>
          <w:sz w:val="21"/>
          <w:szCs w:val="21"/>
        </w:rPr>
        <w:t>40</w:t>
      </w:r>
      <w:r>
        <w:rPr>
          <w:rFonts w:hint="eastAsia"/>
          <w:color w:val="000000"/>
          <w:sz w:val="21"/>
          <w:szCs w:val="21"/>
        </w:rPr>
        <w:t>；</w:t>
      </w:r>
    </w:p>
    <w:p w14:paraId="4A31CE04">
      <w:pPr>
        <w:ind w:firstLine="420" w:firstLineChars="200"/>
        <w:rPr>
          <w:color w:val="000000"/>
          <w:sz w:val="21"/>
          <w:szCs w:val="21"/>
        </w:rPr>
      </w:pPr>
      <w:r>
        <w:rPr>
          <w:rFonts w:hint="eastAsia"/>
          <w:color w:val="000000"/>
          <w:sz w:val="21"/>
          <w:szCs w:val="21"/>
        </w:rPr>
        <w:t xml:space="preserve">g） 电压峰值：共模方式 </w:t>
      </w:r>
      <w:r>
        <w:rPr>
          <w:color w:val="000000"/>
          <w:sz w:val="21"/>
          <w:szCs w:val="21"/>
        </w:rPr>
        <w:t>2.5kV</w:t>
      </w:r>
      <w:r>
        <w:rPr>
          <w:rFonts w:hint="eastAsia"/>
          <w:color w:val="000000"/>
          <w:sz w:val="21"/>
          <w:szCs w:val="21"/>
        </w:rPr>
        <w:t>、差模方式</w:t>
      </w:r>
      <w:r>
        <w:rPr>
          <w:color w:val="000000"/>
          <w:sz w:val="21"/>
          <w:szCs w:val="21"/>
        </w:rPr>
        <w:t>1.25kV</w:t>
      </w:r>
      <w:r>
        <w:rPr>
          <w:rFonts w:hint="eastAsia"/>
          <w:color w:val="000000"/>
          <w:sz w:val="21"/>
          <w:szCs w:val="21"/>
        </w:rPr>
        <w:t>（电源回路）；</w:t>
      </w:r>
    </w:p>
    <w:p w14:paraId="73B956DA">
      <w:pPr>
        <w:ind w:firstLine="420" w:firstLineChars="200"/>
        <w:rPr>
          <w:color w:val="000000"/>
          <w:sz w:val="21"/>
          <w:szCs w:val="21"/>
        </w:rPr>
      </w:pPr>
      <w:r>
        <w:rPr>
          <w:rFonts w:hint="eastAsia"/>
          <w:color w:val="000000"/>
          <w:sz w:val="21"/>
          <w:szCs w:val="21"/>
        </w:rPr>
        <w:t>h） 试验次数：正负极性各</w:t>
      </w:r>
      <w:r>
        <w:rPr>
          <w:color w:val="000000"/>
          <w:sz w:val="21"/>
          <w:szCs w:val="21"/>
        </w:rPr>
        <w:t>3</w:t>
      </w:r>
      <w:r>
        <w:rPr>
          <w:rFonts w:hint="eastAsia"/>
          <w:color w:val="000000"/>
          <w:sz w:val="21"/>
          <w:szCs w:val="21"/>
        </w:rPr>
        <w:t>次；</w:t>
      </w:r>
    </w:p>
    <w:p w14:paraId="2845DC83">
      <w:pPr>
        <w:ind w:firstLine="420" w:firstLineChars="200"/>
        <w:rPr>
          <w:color w:val="000000"/>
          <w:sz w:val="21"/>
          <w:szCs w:val="21"/>
        </w:rPr>
      </w:pPr>
      <w:r>
        <w:rPr>
          <w:rFonts w:hint="eastAsia"/>
          <w:color w:val="000000"/>
          <w:sz w:val="21"/>
          <w:szCs w:val="21"/>
        </w:rPr>
        <w:t>i） 测试时间：</w:t>
      </w:r>
      <w:r>
        <w:rPr>
          <w:color w:val="000000"/>
          <w:sz w:val="21"/>
          <w:szCs w:val="21"/>
        </w:rPr>
        <w:t>60s</w:t>
      </w:r>
      <w:r>
        <w:rPr>
          <w:rFonts w:hint="eastAsia"/>
          <w:color w:val="000000"/>
          <w:sz w:val="21"/>
          <w:szCs w:val="21"/>
        </w:rPr>
        <w:t>。</w:t>
      </w:r>
    </w:p>
    <w:p w14:paraId="1B29560C">
      <w:pPr>
        <w:ind w:firstLine="420" w:firstLineChars="200"/>
        <w:rPr>
          <w:color w:val="000000"/>
          <w:sz w:val="21"/>
          <w:szCs w:val="21"/>
        </w:rPr>
      </w:pPr>
      <w:r>
        <w:rPr>
          <w:rFonts w:hint="eastAsia"/>
          <w:color w:val="000000"/>
          <w:sz w:val="21"/>
          <w:szCs w:val="21"/>
        </w:rPr>
        <w:t>在对电源回路进行试验时，可以出现短时通信中断；试验后，通信单元应能正常工作。</w:t>
      </w:r>
    </w:p>
    <w:p w14:paraId="1BD6D6A4">
      <w:pPr>
        <w:pStyle w:val="36"/>
        <w:numPr>
          <w:ilvl w:val="2"/>
          <w:numId w:val="9"/>
        </w:numPr>
        <w:spacing w:before="156" w:after="156"/>
        <w:rPr>
          <w:szCs w:val="24"/>
        </w:rPr>
      </w:pPr>
      <w:r>
        <w:rPr>
          <w:rFonts w:hint="eastAsia"/>
          <w:szCs w:val="24"/>
        </w:rPr>
        <w:t>浪涌抗扰度</w:t>
      </w:r>
    </w:p>
    <w:p w14:paraId="1BF5019C">
      <w:pPr>
        <w:ind w:firstLine="420" w:firstLineChars="200"/>
        <w:rPr>
          <w:color w:val="000000"/>
          <w:sz w:val="21"/>
          <w:szCs w:val="21"/>
        </w:rPr>
      </w:pPr>
      <w:r>
        <w:rPr>
          <w:rFonts w:hint="eastAsia"/>
          <w:color w:val="000000"/>
          <w:sz w:val="21"/>
          <w:szCs w:val="21"/>
        </w:rPr>
        <w:t>终端在正常工作状态下，按</w:t>
      </w:r>
      <w:r>
        <w:rPr>
          <w:color w:val="000000"/>
          <w:sz w:val="21"/>
          <w:szCs w:val="21"/>
        </w:rPr>
        <w:t>GB/T 17626.5</w:t>
      </w:r>
      <w:r>
        <w:rPr>
          <w:rFonts w:hint="eastAsia"/>
          <w:color w:val="000000"/>
          <w:sz w:val="21"/>
          <w:szCs w:val="21"/>
        </w:rPr>
        <w:t>-</w:t>
      </w:r>
      <w:r>
        <w:rPr>
          <w:color w:val="000000"/>
          <w:sz w:val="21"/>
          <w:szCs w:val="21"/>
        </w:rPr>
        <w:t>20</w:t>
      </w:r>
      <w:r>
        <w:rPr>
          <w:rFonts w:hint="eastAsia"/>
          <w:color w:val="000000"/>
          <w:sz w:val="21"/>
          <w:szCs w:val="21"/>
        </w:rPr>
        <w:t>19的规定，并在下述条件下进行试验：</w:t>
      </w:r>
    </w:p>
    <w:p w14:paraId="214B81B5">
      <w:pPr>
        <w:ind w:firstLine="420" w:firstLineChars="200"/>
        <w:rPr>
          <w:color w:val="000000"/>
          <w:sz w:val="21"/>
          <w:szCs w:val="21"/>
        </w:rPr>
      </w:pPr>
      <w:r>
        <w:rPr>
          <w:rFonts w:hint="eastAsia"/>
          <w:color w:val="000000"/>
          <w:sz w:val="21"/>
          <w:szCs w:val="21"/>
        </w:rPr>
        <w:t>a） 严酷等级：电源回路</w:t>
      </w:r>
      <w:r>
        <w:rPr>
          <w:color w:val="000000"/>
          <w:sz w:val="21"/>
          <w:szCs w:val="21"/>
        </w:rPr>
        <w:t>4</w:t>
      </w:r>
      <w:r>
        <w:rPr>
          <w:rFonts w:hint="eastAsia"/>
          <w:color w:val="000000"/>
          <w:sz w:val="21"/>
          <w:szCs w:val="21"/>
        </w:rPr>
        <w:t>级；</w:t>
      </w:r>
    </w:p>
    <w:p w14:paraId="68BBD3E5">
      <w:pPr>
        <w:ind w:firstLine="420" w:firstLineChars="200"/>
        <w:rPr>
          <w:color w:val="000000"/>
          <w:sz w:val="21"/>
          <w:szCs w:val="21"/>
        </w:rPr>
      </w:pPr>
      <w:r>
        <w:rPr>
          <w:rFonts w:hint="eastAsia"/>
          <w:color w:val="000000"/>
          <w:sz w:val="21"/>
          <w:szCs w:val="21"/>
        </w:rPr>
        <w:t>b） 试验电压：电源电压两端口之间</w:t>
      </w:r>
      <w:r>
        <w:rPr>
          <w:color w:val="000000"/>
          <w:sz w:val="21"/>
          <w:szCs w:val="21"/>
        </w:rPr>
        <w:t>2kV</w:t>
      </w:r>
      <w:r>
        <w:rPr>
          <w:rFonts w:hint="eastAsia"/>
          <w:color w:val="000000"/>
          <w:sz w:val="21"/>
          <w:szCs w:val="21"/>
        </w:rPr>
        <w:t>，电源电压各端口与地之间</w:t>
      </w:r>
      <w:r>
        <w:rPr>
          <w:color w:val="000000"/>
          <w:sz w:val="21"/>
          <w:szCs w:val="21"/>
        </w:rPr>
        <w:t>4kV</w:t>
      </w:r>
      <w:r>
        <w:rPr>
          <w:rFonts w:hint="eastAsia"/>
          <w:color w:val="000000"/>
          <w:sz w:val="21"/>
          <w:szCs w:val="21"/>
        </w:rPr>
        <w:t>；</w:t>
      </w:r>
    </w:p>
    <w:p w14:paraId="08BCDB8D">
      <w:pPr>
        <w:ind w:firstLine="420" w:firstLineChars="200"/>
        <w:rPr>
          <w:color w:val="000000"/>
          <w:sz w:val="21"/>
          <w:szCs w:val="21"/>
        </w:rPr>
      </w:pPr>
      <w:r>
        <w:rPr>
          <w:rFonts w:hint="eastAsia"/>
          <w:color w:val="000000"/>
          <w:sz w:val="21"/>
          <w:szCs w:val="21"/>
        </w:rPr>
        <w:t>c） 波形：</w:t>
      </w:r>
      <w:r>
        <w:rPr>
          <w:color w:val="000000"/>
          <w:sz w:val="21"/>
          <w:szCs w:val="21"/>
        </w:rPr>
        <w:t>1.2/50s</w:t>
      </w:r>
      <w:r>
        <w:rPr>
          <w:rFonts w:hint="eastAsia"/>
          <w:color w:val="000000"/>
          <w:sz w:val="21"/>
          <w:szCs w:val="21"/>
        </w:rPr>
        <w:t>；</w:t>
      </w:r>
    </w:p>
    <w:p w14:paraId="503F5E27">
      <w:pPr>
        <w:ind w:firstLine="420" w:firstLineChars="200"/>
        <w:rPr>
          <w:color w:val="000000"/>
          <w:sz w:val="21"/>
          <w:szCs w:val="21"/>
        </w:rPr>
      </w:pPr>
      <w:r>
        <w:rPr>
          <w:rFonts w:hint="eastAsia"/>
          <w:color w:val="000000"/>
          <w:sz w:val="21"/>
          <w:szCs w:val="21"/>
        </w:rPr>
        <w:t>d） 极性：正、负；</w:t>
      </w:r>
    </w:p>
    <w:p w14:paraId="2A0BE545">
      <w:pPr>
        <w:ind w:firstLine="420" w:firstLineChars="200"/>
        <w:rPr>
          <w:color w:val="000000"/>
          <w:sz w:val="21"/>
          <w:szCs w:val="21"/>
        </w:rPr>
      </w:pPr>
      <w:r>
        <w:rPr>
          <w:rFonts w:hint="eastAsia"/>
          <w:color w:val="000000"/>
          <w:sz w:val="21"/>
          <w:szCs w:val="21"/>
        </w:rPr>
        <w:t>e） 试验次数：正负极性各</w:t>
      </w:r>
      <w:r>
        <w:rPr>
          <w:color w:val="000000"/>
          <w:sz w:val="21"/>
          <w:szCs w:val="21"/>
        </w:rPr>
        <w:t>5</w:t>
      </w:r>
      <w:r>
        <w:rPr>
          <w:rFonts w:hint="eastAsia"/>
          <w:color w:val="000000"/>
          <w:sz w:val="21"/>
          <w:szCs w:val="21"/>
        </w:rPr>
        <w:t>次；</w:t>
      </w:r>
    </w:p>
    <w:p w14:paraId="25675F82">
      <w:pPr>
        <w:ind w:firstLine="420" w:firstLineChars="200"/>
        <w:rPr>
          <w:color w:val="000000"/>
          <w:sz w:val="21"/>
          <w:szCs w:val="21"/>
        </w:rPr>
      </w:pPr>
      <w:r>
        <w:rPr>
          <w:rFonts w:hint="eastAsia"/>
          <w:color w:val="000000"/>
          <w:sz w:val="21"/>
          <w:szCs w:val="21"/>
        </w:rPr>
        <w:t>f） 重复率：每分钟一次。</w:t>
      </w:r>
    </w:p>
    <w:p w14:paraId="09C7D718">
      <w:pPr>
        <w:ind w:firstLine="420" w:firstLineChars="200"/>
        <w:rPr>
          <w:color w:val="000000"/>
          <w:sz w:val="21"/>
          <w:szCs w:val="21"/>
        </w:rPr>
      </w:pPr>
      <w:r>
        <w:rPr>
          <w:rFonts w:hint="eastAsia"/>
          <w:color w:val="000000"/>
          <w:sz w:val="21"/>
          <w:szCs w:val="21"/>
        </w:rPr>
        <w:t>试验时，可以出现短时通信中断；试验后，通信单元应能正常工作。</w:t>
      </w:r>
    </w:p>
    <w:p w14:paraId="52937787">
      <w:pPr>
        <w:pStyle w:val="34"/>
        <w:numPr>
          <w:ilvl w:val="1"/>
          <w:numId w:val="9"/>
        </w:numPr>
        <w:spacing w:before="156" w:after="156"/>
      </w:pPr>
      <w:bookmarkStart w:id="158" w:name="_Toc27893"/>
      <w:bookmarkStart w:id="159" w:name="_Toc31639"/>
      <w:bookmarkStart w:id="160" w:name="_Toc164421271"/>
      <w:r>
        <w:rPr>
          <w:rFonts w:hint="eastAsia"/>
        </w:rPr>
        <w:t>定位性能</w:t>
      </w:r>
      <w:bookmarkEnd w:id="158"/>
      <w:bookmarkEnd w:id="159"/>
      <w:r>
        <w:rPr>
          <w:rFonts w:hint="eastAsia"/>
        </w:rPr>
        <w:t>试验</w:t>
      </w:r>
      <w:bookmarkEnd w:id="160"/>
    </w:p>
    <w:p w14:paraId="7E5D5EA4">
      <w:pPr>
        <w:pStyle w:val="36"/>
        <w:numPr>
          <w:ilvl w:val="2"/>
          <w:numId w:val="9"/>
        </w:numPr>
        <w:spacing w:before="156" w:after="156"/>
      </w:pPr>
      <w:r>
        <w:rPr>
          <w:rFonts w:hint="eastAsia"/>
        </w:rPr>
        <w:t>卫星通道数及信号接收</w:t>
      </w:r>
    </w:p>
    <w:p w14:paraId="5F04A94B">
      <w:pPr>
        <w:pStyle w:val="41"/>
      </w:pPr>
      <w:r>
        <w:t>按GB/T 39399-2020中5.8.2</w:t>
      </w:r>
      <w:r>
        <w:rPr>
          <w:rFonts w:hint="eastAsia"/>
        </w:rPr>
        <w:t>规定的</w:t>
      </w:r>
      <w:r>
        <w:t>方法进行</w:t>
      </w:r>
      <w:r>
        <w:rPr>
          <w:rFonts w:hint="eastAsia"/>
        </w:rPr>
        <w:t>：</w:t>
      </w:r>
    </w:p>
    <w:p w14:paraId="50DF9BDB">
      <w:pPr>
        <w:pStyle w:val="41"/>
      </w:pPr>
      <w:r>
        <w:rPr>
          <w:rFonts w:hint="eastAsia"/>
        </w:rPr>
        <w:t>a)使用卫星信号模拟器检验，设置模拟信号输出功率电平为</w:t>
      </w:r>
      <w:r>
        <w:t>-128dBm</w:t>
      </w:r>
      <w:r>
        <w:rPr>
          <w:rFonts w:hint="eastAsia"/>
        </w:rPr>
        <w:t>；</w:t>
      </w:r>
    </w:p>
    <w:p w14:paraId="2D6AF2D5">
      <w:pPr>
        <w:pStyle w:val="41"/>
      </w:pPr>
      <w:r>
        <w:rPr>
          <w:rFonts w:hint="eastAsia"/>
        </w:rPr>
        <w:t>b)</w:t>
      </w:r>
      <w:r>
        <w:t>通过</w:t>
      </w:r>
      <w:r>
        <w:rPr>
          <w:rFonts w:hint="eastAsia"/>
        </w:rPr>
        <w:t>采集终端远程通信单元</w:t>
      </w:r>
      <w:r>
        <w:t>连接软件查看</w:t>
      </w:r>
      <w:r>
        <w:rPr>
          <w:rFonts w:hint="eastAsia"/>
        </w:rPr>
        <w:t>其</w:t>
      </w:r>
      <w:r>
        <w:t>收到卫星信号频点及观测值类型，观察并记录跟踪卫星个数。</w:t>
      </w:r>
    </w:p>
    <w:p w14:paraId="7AF299C9">
      <w:pPr>
        <w:pStyle w:val="36"/>
        <w:numPr>
          <w:ilvl w:val="2"/>
          <w:numId w:val="9"/>
        </w:numPr>
        <w:spacing w:before="156" w:after="156"/>
      </w:pPr>
      <w:r>
        <w:rPr>
          <w:rFonts w:hint="eastAsia"/>
        </w:rPr>
        <w:t>定位精度</w:t>
      </w:r>
    </w:p>
    <w:p w14:paraId="4802AE01">
      <w:pPr>
        <w:pStyle w:val="77"/>
        <w:rPr>
          <w:rFonts w:ascii="黑体" w:hAnsi="黑体" w:eastAsia="黑体"/>
        </w:rPr>
      </w:pPr>
      <w:r>
        <w:rPr>
          <w:rFonts w:hint="eastAsia" w:ascii="黑体" w:hAnsi="黑体" w:eastAsia="黑体"/>
        </w:rPr>
        <w:t>单点定位精度</w:t>
      </w:r>
    </w:p>
    <w:p w14:paraId="29DA2B1D">
      <w:pPr>
        <w:pStyle w:val="41"/>
      </w:pPr>
      <w:r>
        <w:t>按GB/T 39399-2020中5.11.1规定的方法进行</w:t>
      </w:r>
      <w:r>
        <w:rPr>
          <w:rFonts w:hint="eastAsia"/>
        </w:rPr>
        <w:t>，将采集终端远程通信单元安置在已知的观测点上，待该采集终端远程通信单元得到定位结果后开始记录显示或者输出的坐标，数据采样率间隔不大于</w:t>
      </w:r>
      <w:r>
        <w:t>30s，连续记录数据不少于100</w:t>
      </w:r>
      <w:r>
        <w:rPr>
          <w:rFonts w:hint="eastAsia"/>
        </w:rPr>
        <w:t>个，按照以下公式1、公式2进行计算，单点定位精度应优于采集终端远程通信单元单点定位标称测量精度</w:t>
      </w:r>
      <w:r>
        <w:t>。</w:t>
      </w:r>
    </w:p>
    <w:p w14:paraId="31B4CDB4">
      <w:pPr>
        <w:pStyle w:val="41"/>
        <w:ind w:firstLine="0" w:firstLineChars="0"/>
        <w:jc w:val="right"/>
      </w:pPr>
      <m:oMath>
        <m:sSub>
          <m:sSubPr>
            <m:ctrlPr>
              <w:rPr>
                <w:rFonts w:ascii="Cambria Math" w:hAnsi="Cambria Math"/>
              </w:rPr>
            </m:ctrlPr>
          </m:sSubPr>
          <m:e>
            <m:r>
              <m:rPr/>
              <w:rPr>
                <w:rFonts w:hint="eastAsia" w:ascii="Cambria Math" w:hAnsi="Cambria Math"/>
              </w:rPr>
              <m:t>σ</m:t>
            </m:r>
            <m:ctrlPr>
              <w:rPr>
                <w:rFonts w:ascii="Cambria Math" w:hAnsi="Cambria Math"/>
              </w:rPr>
            </m:ctrlPr>
          </m:e>
          <m:sub>
            <m:r>
              <m:rPr/>
              <w:rPr>
                <w:rFonts w:ascii="Cambria Math" w:hAnsi="Cambria Math" w:eastAsia="MS Mincho" w:cs="MS Mincho"/>
              </w:rPr>
              <m:t>ℎ</m:t>
            </m:r>
            <m:ctrlPr>
              <w:rPr>
                <w:rFonts w:ascii="Cambria Math" w:hAnsi="Cambria Math"/>
              </w:rPr>
            </m:ctrlPr>
          </m:sub>
        </m:sSub>
        <m:r>
          <m:rPr/>
          <w:rPr>
            <w:rFonts w:hint="eastAsia" w:ascii="Cambria Math" w:hAnsi="Cambria Math"/>
          </w:rPr>
          <m:t>=</m:t>
        </m:r>
        <m:rad>
          <m:radPr>
            <m:degHide m:val="1"/>
            <m:ctrlPr>
              <w:rPr>
                <w:rFonts w:ascii="Cambria Math" w:hAnsi="Cambria Math"/>
                <w:i/>
              </w:rPr>
            </m:ctrlPr>
          </m:radPr>
          <m:deg>
            <m:ctrlPr>
              <w:rPr>
                <w:rFonts w:ascii="Cambria Math" w:hAnsi="Cambria Math"/>
                <w:i/>
              </w:rPr>
            </m:ctrlPr>
          </m:deg>
          <m:e>
            <m:f>
              <m:fPr>
                <m:ctrlPr>
                  <w:rPr>
                    <w:rFonts w:ascii="Cambria Math" w:hAnsi="Cambria Math"/>
                    <w:i/>
                  </w:rPr>
                </m:ctrlPr>
              </m:fPr>
              <m:num>
                <m:r>
                  <m:rPr/>
                  <w:rPr>
                    <w:rFonts w:hint="eastAsia" w:ascii="Cambria Math" w:hAnsi="Cambria Math"/>
                  </w:rPr>
                  <m:t>1</m:t>
                </m:r>
                <m:ctrlPr>
                  <w:rPr>
                    <w:rFonts w:ascii="Cambria Math" w:hAnsi="Cambria Math"/>
                    <w:i/>
                  </w:rPr>
                </m:ctrlPr>
              </m:num>
              <m:den>
                <m:r>
                  <m:rPr/>
                  <w:rPr>
                    <w:rFonts w:hint="eastAsia" w:ascii="Cambria Math" w:hAnsi="Cambria Math"/>
                  </w:rPr>
                  <m:t>n</m:t>
                </m:r>
                <m:ctrlPr>
                  <w:rPr>
                    <w:rFonts w:ascii="Cambria Math" w:hAnsi="Cambria Math"/>
                    <w:i/>
                  </w:rPr>
                </m:ctrlPr>
              </m:den>
            </m:f>
            <m:nary>
              <m:naryPr>
                <m:chr m:val="∑"/>
                <m:limLoc m:val="undOvr"/>
                <m:ctrlPr>
                  <w:rPr>
                    <w:rFonts w:ascii="Cambria Math" w:hAnsi="Cambria Math"/>
                    <w:i/>
                  </w:rPr>
                </m:ctrlPr>
              </m:naryPr>
              <m:sub>
                <m:r>
                  <m:rPr/>
                  <w:rPr>
                    <w:rFonts w:hint="eastAsia" w:ascii="Cambria Math" w:hAnsi="Cambria Math"/>
                  </w:rPr>
                  <m:t>i=1</m:t>
                </m:r>
                <m:ctrlPr>
                  <w:rPr>
                    <w:rFonts w:ascii="Cambria Math" w:hAnsi="Cambria Math"/>
                    <w:i/>
                  </w:rPr>
                </m:ctrlPr>
              </m:sub>
              <m:sup>
                <m:r>
                  <m:rPr/>
                  <w:rPr>
                    <w:rFonts w:hint="eastAsia" w:ascii="Cambria Math" w:hAnsi="Cambria Math"/>
                  </w:rPr>
                  <m:t>n</m:t>
                </m:r>
                <m:ctrlPr>
                  <w:rPr>
                    <w:rFonts w:ascii="Cambria Math" w:hAnsi="Cambria Math"/>
                    <w:i/>
                  </w:rPr>
                </m:ctrlPr>
              </m:sup>
              <m:e>
                <m:d>
                  <m:dPr>
                    <m:ctrlPr>
                      <w:rPr>
                        <w:rFonts w:ascii="Cambria Math" w:hAnsi="Cambria Math"/>
                        <w:i/>
                      </w:rPr>
                    </m:ctrlPr>
                  </m:dPr>
                  <m:e>
                    <m:sSubSup>
                      <m:sSubSupPr>
                        <m:ctrlPr>
                          <w:rPr>
                            <w:rFonts w:ascii="Cambria Math" w:hAnsi="Cambria Math"/>
                            <w:i/>
                          </w:rPr>
                        </m:ctrlPr>
                      </m:sSubSupPr>
                      <m:e>
                        <m:r>
                          <m:rPr/>
                          <w:rPr>
                            <w:rFonts w:hint="eastAsia" w:ascii="Cambria Math" w:hAnsi="Cambria Math"/>
                          </w:rPr>
                          <m:t>N</m:t>
                        </m:r>
                        <m:ctrlPr>
                          <w:rPr>
                            <w:rFonts w:ascii="Cambria Math" w:hAnsi="Cambria Math"/>
                            <w:i/>
                          </w:rPr>
                        </m:ctrlPr>
                      </m:e>
                      <m:sub>
                        <m:r>
                          <m:rPr/>
                          <w:rPr>
                            <w:rFonts w:hint="eastAsia" w:ascii="Cambria Math" w:hAnsi="Cambria Math"/>
                          </w:rPr>
                          <m:t>i</m:t>
                        </m:r>
                        <m:ctrlPr>
                          <w:rPr>
                            <w:rFonts w:ascii="Cambria Math" w:hAnsi="Cambria Math"/>
                            <w:i/>
                          </w:rPr>
                        </m:ctrlPr>
                      </m:sub>
                      <m:sup>
                        <m:r>
                          <m:rPr/>
                          <w:rPr>
                            <w:rFonts w:hint="eastAsia" w:ascii="Cambria Math" w:hAnsi="Cambria Math"/>
                          </w:rPr>
                          <m:t>2</m:t>
                        </m:r>
                        <m:ctrlPr>
                          <w:rPr>
                            <w:rFonts w:ascii="Cambria Math" w:hAnsi="Cambria Math"/>
                            <w:i/>
                          </w:rPr>
                        </m:ctrlPr>
                      </m:sup>
                    </m:sSubSup>
                    <m:r>
                      <m:rPr/>
                      <w:rPr>
                        <w:rFonts w:hint="eastAsia" w:ascii="Cambria Math" w:hAnsi="Cambria Math"/>
                      </w:rPr>
                      <m:t>+</m:t>
                    </m:r>
                    <m:sSubSup>
                      <m:sSubSupPr>
                        <m:ctrlPr>
                          <w:rPr>
                            <w:rFonts w:ascii="Cambria Math" w:hAnsi="Cambria Math"/>
                            <w:i/>
                          </w:rPr>
                        </m:ctrlPr>
                      </m:sSubSupPr>
                      <m:e>
                        <m:r>
                          <m:rPr/>
                          <w:rPr>
                            <w:rFonts w:hint="eastAsia" w:ascii="Cambria Math" w:hAnsi="Cambria Math"/>
                          </w:rPr>
                          <m:t>E</m:t>
                        </m:r>
                        <m:ctrlPr>
                          <w:rPr>
                            <w:rFonts w:ascii="Cambria Math" w:hAnsi="Cambria Math"/>
                            <w:i/>
                          </w:rPr>
                        </m:ctrlPr>
                      </m:e>
                      <m:sub>
                        <m:r>
                          <m:rPr/>
                          <w:rPr>
                            <w:rFonts w:hint="eastAsia" w:ascii="Cambria Math" w:hAnsi="Cambria Math"/>
                          </w:rPr>
                          <m:t>i</m:t>
                        </m:r>
                        <m:ctrlPr>
                          <w:rPr>
                            <w:rFonts w:ascii="Cambria Math" w:hAnsi="Cambria Math"/>
                            <w:i/>
                          </w:rPr>
                        </m:ctrlPr>
                      </m:sub>
                      <m:sup>
                        <m:r>
                          <m:rPr/>
                          <w:rPr>
                            <w:rFonts w:hint="eastAsia" w:ascii="Cambria Math" w:hAnsi="Cambria Math"/>
                          </w:rPr>
                          <m:t>2</m:t>
                        </m:r>
                        <m:ctrlPr>
                          <w:rPr>
                            <w:rFonts w:ascii="Cambria Math" w:hAnsi="Cambria Math"/>
                            <w:i/>
                          </w:rPr>
                        </m:ctrlPr>
                      </m:sup>
                    </m:sSubSup>
                    <m:ctrlPr>
                      <w:rPr>
                        <w:rFonts w:ascii="Cambria Math" w:hAnsi="Cambria Math"/>
                        <w:i/>
                      </w:rPr>
                    </m:ctrlPr>
                  </m:e>
                </m:d>
                <m:ctrlPr>
                  <w:rPr>
                    <w:rFonts w:ascii="Cambria Math" w:hAnsi="Cambria Math"/>
                    <w:i/>
                  </w:rPr>
                </m:ctrlPr>
              </m:e>
            </m:nary>
            <m:ctrlPr>
              <w:rPr>
                <w:rFonts w:ascii="Cambria Math" w:hAnsi="Cambria Math"/>
                <w:i/>
              </w:rPr>
            </m:ctrlPr>
          </m:e>
        </m:rad>
      </m:oMath>
      <w:r>
        <w:rPr>
          <w:rFonts w:hAnsi="TimesNewRomanPSMT"/>
          <w:szCs w:val="21"/>
        </w:rPr>
        <w:t>…………………………………</w:t>
      </w:r>
      <w:r>
        <w:rPr>
          <w:rFonts w:hint="eastAsia" w:hAnsi="TimesNewRomanPSMT"/>
          <w:szCs w:val="21"/>
        </w:rPr>
        <w:t>.（1）</w:t>
      </w:r>
    </w:p>
    <w:p w14:paraId="004447E3">
      <w:pPr>
        <w:pStyle w:val="7"/>
        <w:jc w:val="right"/>
      </w:pPr>
    </w:p>
    <w:p w14:paraId="56868C9B">
      <w:pPr>
        <w:pStyle w:val="41"/>
        <w:ind w:firstLine="0" w:firstLineChars="0"/>
        <w:jc w:val="right"/>
      </w:pPr>
      <m:oMath>
        <m:sSub>
          <m:sSubPr>
            <m:ctrlPr>
              <w:rPr>
                <w:rFonts w:ascii="Cambria Math" w:hAnsi="Cambria Math"/>
              </w:rPr>
            </m:ctrlPr>
          </m:sSubPr>
          <m:e>
            <m:r>
              <m:rPr/>
              <w:rPr>
                <w:rFonts w:hint="eastAsia" w:ascii="Cambria Math" w:hAnsi="Cambria Math"/>
              </w:rPr>
              <m:t>σ</m:t>
            </m:r>
            <m:ctrlPr>
              <w:rPr>
                <w:rFonts w:ascii="Cambria Math" w:hAnsi="Cambria Math"/>
              </w:rPr>
            </m:ctrlPr>
          </m:e>
          <m:sub>
            <m:r>
              <m:rPr/>
              <w:rPr>
                <w:rFonts w:hint="eastAsia" w:ascii="Cambria Math" w:hAnsi="Cambria Math"/>
              </w:rPr>
              <m:t>v</m:t>
            </m:r>
            <m:ctrlPr>
              <w:rPr>
                <w:rFonts w:ascii="Cambria Math" w:hAnsi="Cambria Math"/>
              </w:rPr>
            </m:ctrlPr>
          </m:sub>
        </m:sSub>
        <m:r>
          <m:rPr/>
          <w:rPr>
            <w:rFonts w:hint="eastAsia" w:ascii="Cambria Math" w:hAnsi="Cambria Math"/>
          </w:rPr>
          <m:t>=</m:t>
        </m:r>
        <m:rad>
          <m:radPr>
            <m:degHide m:val="1"/>
            <m:ctrlPr>
              <w:rPr>
                <w:rFonts w:ascii="Cambria Math" w:hAnsi="Cambria Math"/>
                <w:i/>
              </w:rPr>
            </m:ctrlPr>
          </m:radPr>
          <m:deg>
            <m:ctrlPr>
              <w:rPr>
                <w:rFonts w:ascii="Cambria Math" w:hAnsi="Cambria Math"/>
                <w:i/>
              </w:rPr>
            </m:ctrlPr>
          </m:deg>
          <m:e>
            <m:f>
              <m:fPr>
                <m:ctrlPr>
                  <w:rPr>
                    <w:rFonts w:ascii="Cambria Math" w:hAnsi="Cambria Math"/>
                    <w:i/>
                  </w:rPr>
                </m:ctrlPr>
              </m:fPr>
              <m:num>
                <m:r>
                  <m:rPr/>
                  <w:rPr>
                    <w:rFonts w:hint="eastAsia" w:ascii="Cambria Math" w:hAnsi="Cambria Math"/>
                  </w:rPr>
                  <m:t>1</m:t>
                </m:r>
                <m:ctrlPr>
                  <w:rPr>
                    <w:rFonts w:ascii="Cambria Math" w:hAnsi="Cambria Math"/>
                    <w:i/>
                  </w:rPr>
                </m:ctrlPr>
              </m:num>
              <m:den>
                <m:r>
                  <m:rPr/>
                  <w:rPr>
                    <w:rFonts w:hint="eastAsia" w:ascii="Cambria Math" w:hAnsi="Cambria Math"/>
                  </w:rPr>
                  <m:t>n</m:t>
                </m:r>
                <m:ctrlPr>
                  <w:rPr>
                    <w:rFonts w:ascii="Cambria Math" w:hAnsi="Cambria Math"/>
                    <w:i/>
                  </w:rPr>
                </m:ctrlPr>
              </m:den>
            </m:f>
            <m:nary>
              <m:naryPr>
                <m:chr m:val="∑"/>
                <m:limLoc m:val="undOvr"/>
                <m:ctrlPr>
                  <w:rPr>
                    <w:rFonts w:ascii="Cambria Math" w:hAnsi="Cambria Math"/>
                    <w:i/>
                  </w:rPr>
                </m:ctrlPr>
              </m:naryPr>
              <m:sub>
                <m:r>
                  <m:rPr/>
                  <w:rPr>
                    <w:rFonts w:hint="eastAsia" w:ascii="Cambria Math" w:hAnsi="Cambria Math"/>
                  </w:rPr>
                  <m:t>i=1</m:t>
                </m:r>
                <m:ctrlPr>
                  <w:rPr>
                    <w:rFonts w:ascii="Cambria Math" w:hAnsi="Cambria Math"/>
                    <w:i/>
                  </w:rPr>
                </m:ctrlPr>
              </m:sub>
              <m:sup>
                <m:r>
                  <m:rPr/>
                  <w:rPr>
                    <w:rFonts w:hint="eastAsia" w:ascii="Cambria Math" w:hAnsi="Cambria Math"/>
                  </w:rPr>
                  <m:t>n</m:t>
                </m:r>
                <m:ctrlPr>
                  <w:rPr>
                    <w:rFonts w:ascii="Cambria Math" w:hAnsi="Cambria Math"/>
                    <w:i/>
                  </w:rPr>
                </m:ctrlPr>
              </m:sup>
              <m:e>
                <m:sSubSup>
                  <m:sSubSupPr>
                    <m:ctrlPr>
                      <w:rPr>
                        <w:rFonts w:ascii="Cambria Math" w:hAnsi="Cambria Math"/>
                        <w:i/>
                      </w:rPr>
                    </m:ctrlPr>
                  </m:sSubSupPr>
                  <m:e>
                    <m:r>
                      <m:rPr/>
                      <w:rPr>
                        <w:rFonts w:hint="eastAsia" w:ascii="Cambria Math" w:hAnsi="Cambria Math"/>
                      </w:rPr>
                      <m:t>U</m:t>
                    </m:r>
                    <m:ctrlPr>
                      <w:rPr>
                        <w:rFonts w:ascii="Cambria Math" w:hAnsi="Cambria Math"/>
                        <w:i/>
                      </w:rPr>
                    </m:ctrlPr>
                  </m:e>
                  <m:sub>
                    <m:r>
                      <m:rPr/>
                      <w:rPr>
                        <w:rFonts w:hint="eastAsia" w:ascii="Cambria Math" w:hAnsi="Cambria Math"/>
                      </w:rPr>
                      <m:t>i</m:t>
                    </m:r>
                    <m:ctrlPr>
                      <w:rPr>
                        <w:rFonts w:ascii="Cambria Math" w:hAnsi="Cambria Math"/>
                        <w:i/>
                      </w:rPr>
                    </m:ctrlPr>
                  </m:sub>
                  <m:sup>
                    <m:r>
                      <m:rPr/>
                      <w:rPr>
                        <w:rFonts w:hint="eastAsia" w:ascii="Cambria Math" w:hAnsi="Cambria Math"/>
                      </w:rPr>
                      <m:t>2</m:t>
                    </m:r>
                    <m:ctrlPr>
                      <w:rPr>
                        <w:rFonts w:ascii="Cambria Math" w:hAnsi="Cambria Math"/>
                        <w:i/>
                      </w:rPr>
                    </m:ctrlPr>
                  </m:sup>
                </m:sSubSup>
                <m:ctrlPr>
                  <w:rPr>
                    <w:rFonts w:ascii="Cambria Math" w:hAnsi="Cambria Math"/>
                    <w:i/>
                  </w:rPr>
                </m:ctrlPr>
              </m:e>
            </m:nary>
            <m:ctrlPr>
              <w:rPr>
                <w:rFonts w:ascii="Cambria Math" w:hAnsi="Cambria Math"/>
                <w:i/>
              </w:rPr>
            </m:ctrlPr>
          </m:e>
        </m:rad>
      </m:oMath>
      <w:r>
        <w:rPr>
          <w:rFonts w:hAnsi="TimesNewRomanPSMT"/>
          <w:szCs w:val="21"/>
        </w:rPr>
        <w:t>……………………………………</w:t>
      </w:r>
      <w:r>
        <w:rPr>
          <w:rFonts w:hint="eastAsia" w:hAnsi="TimesNewRomanPSMT"/>
          <w:szCs w:val="21"/>
        </w:rPr>
        <w:t>.（2）</w:t>
      </w:r>
    </w:p>
    <w:p w14:paraId="02CCF88C">
      <w:pPr>
        <w:pStyle w:val="7"/>
        <w:jc w:val="center"/>
      </w:pPr>
    </w:p>
    <w:p w14:paraId="0C67B362">
      <w:pPr>
        <w:pStyle w:val="41"/>
        <w:ind w:firstLine="0" w:firstLineChars="0"/>
        <w:jc w:val="center"/>
      </w:pPr>
    </w:p>
    <w:p w14:paraId="015963A4">
      <w:pPr>
        <w:pStyle w:val="41"/>
      </w:pPr>
      <w:r>
        <w:rPr>
          <w:rFonts w:hint="eastAsia"/>
        </w:rPr>
        <w:t>式中：</w:t>
      </w:r>
    </w:p>
    <w:p w14:paraId="5D50350D">
      <w:pPr>
        <w:pStyle w:val="41"/>
        <w:tabs>
          <w:tab w:val="clear" w:pos="4201"/>
          <w:tab w:val="clear" w:pos="9298"/>
        </w:tabs>
      </w:pPr>
      <m:oMath>
        <m:sSub>
          <m:sSubPr>
            <m:ctrlPr>
              <w:rPr>
                <w:rFonts w:ascii="Cambria Math" w:hAnsi="Cambria Math"/>
              </w:rPr>
            </m:ctrlPr>
          </m:sSubPr>
          <m:e>
            <m:r>
              <m:rPr/>
              <w:rPr>
                <w:rFonts w:hint="eastAsia" w:ascii="Cambria Math" w:hAnsi="Cambria Math"/>
              </w:rPr>
              <m:t>σ</m:t>
            </m:r>
            <m:ctrlPr>
              <w:rPr>
                <w:rFonts w:ascii="Cambria Math" w:hAnsi="Cambria Math"/>
              </w:rPr>
            </m:ctrlPr>
          </m:e>
          <m:sub>
            <m:r>
              <m:rPr/>
              <w:rPr>
                <w:rFonts w:ascii="Cambria Math" w:hAnsi="Cambria Math" w:eastAsia="MS Mincho" w:cs="MS Mincho"/>
              </w:rPr>
              <m:t>ℎ</m:t>
            </m:r>
            <m:ctrlPr>
              <w:rPr>
                <w:rFonts w:ascii="Cambria Math" w:hAnsi="Cambria Math"/>
              </w:rPr>
            </m:ctrlPr>
          </m:sub>
        </m:sSub>
      </m:oMath>
      <w:r>
        <w:rPr>
          <w:rFonts w:hint="eastAsia" w:ascii="TimesNewRomanPSMT" w:hAnsi="TimesNewRomanPSMT" w:eastAsia="SymbolMT" w:cs="TimesNewRomanPSMT"/>
          <w:sz w:val="22"/>
          <w:szCs w:val="22"/>
        </w:rPr>
        <w:tab/>
      </w:r>
      <w:r>
        <w:rPr>
          <w:rFonts w:hint="eastAsia" w:ascii="TimesNewRomanPSMT" w:hAnsi="TimesNewRomanPSMT" w:eastAsia="SymbolMT" w:cs="TimesNewRomanPSMT"/>
          <w:sz w:val="22"/>
          <w:szCs w:val="22"/>
        </w:rPr>
        <w:tab/>
      </w:r>
      <w:r>
        <w:rPr>
          <w:rFonts w:hint="eastAsia" w:ascii="TimesNewRomanPSMT" w:hAnsi="TimesNewRomanPSMT" w:eastAsia="SymbolMT" w:cs="TimesNewRomanPSMT"/>
          <w:sz w:val="22"/>
          <w:szCs w:val="22"/>
        </w:rPr>
        <w:t>——</w:t>
      </w:r>
      <w:r>
        <w:rPr>
          <w:rFonts w:hint="eastAsia"/>
        </w:rPr>
        <w:t>单点定位水平精度，单位为米（ｍ）；</w:t>
      </w:r>
    </w:p>
    <w:p w14:paraId="6910244B">
      <w:pPr>
        <w:pStyle w:val="41"/>
        <w:tabs>
          <w:tab w:val="clear" w:pos="4201"/>
          <w:tab w:val="clear" w:pos="9298"/>
        </w:tabs>
        <w:ind w:firstLine="440"/>
      </w:pPr>
      <m:oMath>
        <m:r>
          <m:rPr>
            <m:sty m:val="p"/>
          </m:rPr>
          <w:rPr>
            <w:rFonts w:ascii="Cambria Math" w:hAnsi="Cambria Math" w:eastAsia="SymbolMT" w:cs="TimesNewRomanPSMT"/>
            <w:sz w:val="22"/>
            <w:szCs w:val="22"/>
          </w:rPr>
          <m:t>n</m:t>
        </m:r>
      </m:oMath>
      <w:r>
        <w:rPr>
          <w:rFonts w:hint="eastAsia" w:ascii="TimesNewRomanPSMT" w:hAnsi="TimesNewRomanPSMT" w:eastAsia="SymbolMT" w:cs="TimesNewRomanPSMT"/>
          <w:sz w:val="22"/>
          <w:szCs w:val="22"/>
        </w:rPr>
        <w:tab/>
      </w:r>
      <w:r>
        <w:rPr>
          <w:rFonts w:ascii="TimesNewRomanPSMT" w:hAnsi="TimesNewRomanPSMT" w:eastAsia="SymbolMT" w:cs="TimesNewRomanPSMT"/>
          <w:sz w:val="22"/>
          <w:szCs w:val="22"/>
        </w:rPr>
        <w:t>——</w:t>
      </w:r>
      <w:r>
        <w:t>获得的单点定位坐标个数；</w:t>
      </w:r>
    </w:p>
    <w:p w14:paraId="2B4D373A">
      <w:pPr>
        <w:pStyle w:val="41"/>
        <w:tabs>
          <w:tab w:val="clear" w:pos="4201"/>
          <w:tab w:val="clear" w:pos="9298"/>
        </w:tabs>
        <w:ind w:firstLine="440"/>
      </w:pPr>
      <m:oMath>
        <m:r>
          <m:rPr>
            <m:sty m:val="p"/>
          </m:rPr>
          <w:rPr>
            <w:rFonts w:ascii="Cambria Math" w:hAnsi="Cambria Math" w:eastAsia="SymbolMT" w:cs="TimesNewRomanPSMT"/>
            <w:sz w:val="22"/>
            <w:szCs w:val="22"/>
          </w:rPr>
          <m:t>i</m:t>
        </m:r>
      </m:oMath>
      <w:r>
        <w:rPr>
          <w:rFonts w:hint="eastAsia" w:hAnsi="Cambria Math" w:eastAsia="SymbolMT" w:cs="TimesNewRomanPSMT"/>
          <w:sz w:val="22"/>
          <w:szCs w:val="22"/>
        </w:rPr>
        <w:tab/>
      </w:r>
      <w:r>
        <w:rPr>
          <w:rFonts w:hint="eastAsia" w:hAnsi="Cambria Math" w:eastAsia="SymbolMT" w:cs="TimesNewRomanPSMT"/>
          <w:sz w:val="22"/>
          <w:szCs w:val="22"/>
        </w:rPr>
        <w:tab/>
      </w:r>
      <w:r>
        <w:rPr>
          <w:rFonts w:ascii="TimesNewRomanPSMT" w:hAnsi="TimesNewRomanPSMT" w:eastAsia="SymbolMT" w:cs="TimesNewRomanPSMT"/>
          <w:sz w:val="22"/>
          <w:szCs w:val="22"/>
        </w:rPr>
        <w:t>——</w:t>
      </w:r>
      <w:r>
        <w:t>获得的单点定位序列号；</w:t>
      </w:r>
    </w:p>
    <w:p w14:paraId="4C4C67B6">
      <w:pPr>
        <w:pStyle w:val="41"/>
        <w:tabs>
          <w:tab w:val="clear" w:pos="4201"/>
          <w:tab w:val="clear" w:pos="9298"/>
        </w:tabs>
        <w:ind w:firstLine="440"/>
      </w:pPr>
      <m:oMath>
        <m:sSub>
          <m:sSubPr>
            <m:ctrlPr>
              <w:rPr>
                <w:rFonts w:ascii="Cambria Math" w:hAnsi="Cambria Math" w:cs="TimesNewRomanPSMT"/>
                <w:i/>
                <w:sz w:val="22"/>
                <w:szCs w:val="22"/>
              </w:rPr>
            </m:ctrlPr>
          </m:sSubPr>
          <m:e>
            <m:r>
              <m:rPr/>
              <w:rPr>
                <w:rFonts w:ascii="Cambria Math" w:hAnsi="Cambria Math" w:cs="TimesNewRomanPSMT"/>
                <w:sz w:val="22"/>
                <w:szCs w:val="22"/>
              </w:rPr>
              <m:t>N</m:t>
            </m:r>
            <m:ctrlPr>
              <w:rPr>
                <w:rFonts w:ascii="Cambria Math" w:hAnsi="Cambria Math" w:cs="TimesNewRomanPSMT"/>
                <w:i/>
                <w:sz w:val="22"/>
                <w:szCs w:val="22"/>
              </w:rPr>
            </m:ctrlPr>
          </m:e>
          <m:sub>
            <m:r>
              <m:rPr/>
              <w:rPr>
                <w:rFonts w:ascii="Cambria Math" w:hAnsi="Cambria Math" w:cs="TimesNewRomanPSMT"/>
                <w:sz w:val="22"/>
                <w:szCs w:val="22"/>
              </w:rPr>
              <m:t>i</m:t>
            </m:r>
            <m:ctrlPr>
              <w:rPr>
                <w:rFonts w:ascii="Cambria Math" w:hAnsi="Cambria Math" w:cs="TimesNewRomanPSMT"/>
                <w:i/>
                <w:sz w:val="22"/>
                <w:szCs w:val="22"/>
              </w:rPr>
            </m:ctrlPr>
          </m:sub>
        </m:sSub>
      </m:oMath>
      <w:r>
        <w:rPr>
          <w:rFonts w:hint="eastAsia" w:hAnsi="Cambria Math" w:cs="TimesNewRomanPSMT"/>
          <w:sz w:val="22"/>
          <w:szCs w:val="22"/>
        </w:rPr>
        <w:tab/>
      </w:r>
      <w:r>
        <w:rPr>
          <w:rFonts w:hint="eastAsia" w:hAnsi="Cambria Math" w:cs="TimesNewRomanPSMT"/>
          <w:sz w:val="22"/>
          <w:szCs w:val="22"/>
        </w:rPr>
        <w:tab/>
      </w:r>
      <w:r>
        <w:rPr>
          <w:rFonts w:hint="eastAsia" w:ascii="TimesNewRomanPSMT" w:hAnsi="TimesNewRomanPSMT" w:eastAsia="SymbolMT" w:cs="TimesNewRomanPSMT"/>
          <w:sz w:val="22"/>
          <w:szCs w:val="22"/>
        </w:rPr>
        <w:t>——</w:t>
      </w:r>
      <w:r>
        <w:rPr>
          <w:rFonts w:hint="eastAsia"/>
        </w:rPr>
        <w:t>被测设备第</w:t>
      </w:r>
      <w:r>
        <w:t>i个定位结果在已知观测点上的站心地平坐标系下北坐标，单位为米（ｍ）；</w:t>
      </w:r>
    </w:p>
    <w:p w14:paraId="2A33A170">
      <w:pPr>
        <w:pStyle w:val="41"/>
        <w:tabs>
          <w:tab w:val="clear" w:pos="4201"/>
          <w:tab w:val="clear" w:pos="9298"/>
        </w:tabs>
        <w:ind w:firstLine="440"/>
      </w:pPr>
      <m:oMath>
        <m:sSub>
          <m:sSubPr>
            <m:ctrlPr>
              <w:rPr>
                <w:rFonts w:ascii="Cambria Math" w:hAnsi="Cambria Math" w:cs="TimesNewRomanPSMT"/>
                <w:i/>
                <w:sz w:val="22"/>
                <w:szCs w:val="22"/>
              </w:rPr>
            </m:ctrlPr>
          </m:sSubPr>
          <m:e>
            <m:r>
              <m:rPr/>
              <w:rPr>
                <w:rFonts w:ascii="Cambria Math" w:hAnsi="Cambria Math" w:cs="TimesNewRomanPSMT"/>
                <w:sz w:val="22"/>
                <w:szCs w:val="22"/>
              </w:rPr>
              <m:t>E</m:t>
            </m:r>
            <m:ctrlPr>
              <w:rPr>
                <w:rFonts w:ascii="Cambria Math" w:hAnsi="Cambria Math" w:cs="TimesNewRomanPSMT"/>
                <w:i/>
                <w:sz w:val="22"/>
                <w:szCs w:val="22"/>
              </w:rPr>
            </m:ctrlPr>
          </m:e>
          <m:sub>
            <m:r>
              <m:rPr/>
              <w:rPr>
                <w:rFonts w:ascii="Cambria Math" w:hAnsi="Cambria Math" w:cs="TimesNewRomanPSMT"/>
                <w:sz w:val="22"/>
                <w:szCs w:val="22"/>
              </w:rPr>
              <m:t>i</m:t>
            </m:r>
            <m:ctrlPr>
              <w:rPr>
                <w:rFonts w:ascii="Cambria Math" w:hAnsi="Cambria Math" w:cs="TimesNewRomanPSMT"/>
                <w:i/>
                <w:sz w:val="22"/>
                <w:szCs w:val="22"/>
              </w:rPr>
            </m:ctrlPr>
          </m:sub>
        </m:sSub>
      </m:oMath>
      <w:r>
        <w:rPr>
          <w:rFonts w:hint="eastAsia" w:hAnsi="Cambria Math" w:cs="TimesNewRomanPSMT"/>
          <w:sz w:val="22"/>
          <w:szCs w:val="22"/>
        </w:rPr>
        <w:tab/>
      </w:r>
      <w:r>
        <w:rPr>
          <w:rFonts w:hint="eastAsia" w:hAnsi="Cambria Math" w:cs="TimesNewRomanPSMT"/>
          <w:sz w:val="22"/>
          <w:szCs w:val="22"/>
        </w:rPr>
        <w:tab/>
      </w:r>
      <w:r>
        <w:rPr>
          <w:rFonts w:hint="eastAsia" w:ascii="TimesNewRomanPSMT" w:hAnsi="TimesNewRomanPSMT" w:eastAsia="SymbolMT" w:cs="TimesNewRomanPSMT"/>
          <w:sz w:val="22"/>
          <w:szCs w:val="22"/>
        </w:rPr>
        <w:t>——</w:t>
      </w:r>
      <w:r>
        <w:rPr>
          <w:rFonts w:hint="eastAsia"/>
        </w:rPr>
        <w:t>被测设备第</w:t>
      </w:r>
      <w:r>
        <w:t>i个定位结果在已知观测点上的站心地平坐标系下东坐标，单位为米（ｍ）；</w:t>
      </w:r>
    </w:p>
    <w:p w14:paraId="19C503E1">
      <w:pPr>
        <w:pStyle w:val="41"/>
        <w:tabs>
          <w:tab w:val="clear" w:pos="4201"/>
          <w:tab w:val="clear" w:pos="9298"/>
        </w:tabs>
      </w:pPr>
      <m:oMath>
        <m:sSub>
          <m:sSubPr>
            <m:ctrlPr>
              <w:rPr>
                <w:rFonts w:ascii="Cambria Math" w:hAnsi="Cambria Math"/>
              </w:rPr>
            </m:ctrlPr>
          </m:sSubPr>
          <m:e>
            <m:r>
              <m:rPr/>
              <w:rPr>
                <w:rFonts w:hint="eastAsia" w:ascii="Cambria Math" w:hAnsi="Cambria Math"/>
              </w:rPr>
              <m:t>σ</m:t>
            </m:r>
            <m:ctrlPr>
              <w:rPr>
                <w:rFonts w:ascii="Cambria Math" w:hAnsi="Cambria Math"/>
              </w:rPr>
            </m:ctrlPr>
          </m:e>
          <m:sub>
            <m:r>
              <m:rPr/>
              <w:rPr>
                <w:rFonts w:hint="eastAsia" w:ascii="Cambria Math" w:hAnsi="Cambria Math"/>
              </w:rPr>
              <m:t>v</m:t>
            </m:r>
            <m:ctrlPr>
              <w:rPr>
                <w:rFonts w:ascii="Cambria Math" w:hAnsi="Cambria Math"/>
              </w:rPr>
            </m:ctrlPr>
          </m:sub>
        </m:sSub>
      </m:oMath>
      <w:r>
        <w:rPr>
          <w:rFonts w:hint="eastAsia" w:hAnsi="Cambria Math"/>
        </w:rPr>
        <w:tab/>
      </w:r>
      <w:r>
        <w:rPr>
          <w:rFonts w:hint="eastAsia" w:hAnsi="Cambria Math"/>
        </w:rPr>
        <w:tab/>
      </w:r>
      <w:r>
        <w:rPr>
          <w:rFonts w:hint="eastAsia" w:ascii="TimesNewRomanPSMT" w:hAnsi="TimesNewRomanPSMT" w:eastAsia="SymbolMT" w:cs="TimesNewRomanPSMT"/>
          <w:sz w:val="22"/>
          <w:szCs w:val="22"/>
        </w:rPr>
        <w:t>——</w:t>
      </w:r>
      <w:r>
        <w:rPr>
          <w:rFonts w:hint="eastAsia"/>
        </w:rPr>
        <w:t>单点定位垂直精度，单位为米（ｍ）；</w:t>
      </w:r>
    </w:p>
    <w:p w14:paraId="36329F70">
      <w:pPr>
        <w:pStyle w:val="41"/>
        <w:tabs>
          <w:tab w:val="clear" w:pos="4201"/>
          <w:tab w:val="clear" w:pos="9298"/>
        </w:tabs>
        <w:ind w:firstLine="440"/>
      </w:pPr>
      <m:oMath>
        <m:sSub>
          <m:sSubPr>
            <m:ctrlPr>
              <w:rPr>
                <w:rFonts w:ascii="Cambria Math" w:hAnsi="Cambria Math" w:cs="TimesNewRomanPSMT"/>
                <w:i/>
                <w:sz w:val="22"/>
                <w:szCs w:val="22"/>
              </w:rPr>
            </m:ctrlPr>
          </m:sSubPr>
          <m:e>
            <m:r>
              <m:rPr/>
              <w:rPr>
                <w:rFonts w:ascii="Cambria Math" w:hAnsi="Cambria Math" w:cs="TimesNewRomanPSMT"/>
                <w:sz w:val="22"/>
                <w:szCs w:val="22"/>
              </w:rPr>
              <m:t>U</m:t>
            </m:r>
            <m:ctrlPr>
              <w:rPr>
                <w:rFonts w:ascii="Cambria Math" w:hAnsi="Cambria Math" w:cs="TimesNewRomanPSMT"/>
                <w:i/>
                <w:sz w:val="22"/>
                <w:szCs w:val="22"/>
              </w:rPr>
            </m:ctrlPr>
          </m:e>
          <m:sub>
            <m:r>
              <m:rPr/>
              <w:rPr>
                <w:rFonts w:ascii="Cambria Math" w:hAnsi="Cambria Math" w:cs="TimesNewRomanPSMT"/>
                <w:sz w:val="22"/>
                <w:szCs w:val="22"/>
              </w:rPr>
              <m:t>i</m:t>
            </m:r>
            <m:ctrlPr>
              <w:rPr>
                <w:rFonts w:ascii="Cambria Math" w:hAnsi="Cambria Math" w:cs="TimesNewRomanPSMT"/>
                <w:i/>
                <w:sz w:val="22"/>
                <w:szCs w:val="22"/>
              </w:rPr>
            </m:ctrlPr>
          </m:sub>
        </m:sSub>
      </m:oMath>
      <w:r>
        <w:rPr>
          <w:rFonts w:hint="eastAsia" w:hAnsi="Cambria Math" w:cs="TimesNewRomanPSMT"/>
          <w:sz w:val="22"/>
          <w:szCs w:val="22"/>
        </w:rPr>
        <w:tab/>
      </w:r>
      <w:r>
        <w:rPr>
          <w:rFonts w:hint="eastAsia" w:hAnsi="Cambria Math" w:cs="TimesNewRomanPSMT"/>
          <w:sz w:val="22"/>
          <w:szCs w:val="22"/>
        </w:rPr>
        <w:tab/>
      </w:r>
      <w:r>
        <w:rPr>
          <w:rFonts w:hint="eastAsia" w:ascii="TimesNewRomanPSMT" w:hAnsi="TimesNewRomanPSMT" w:eastAsia="SymbolMT" w:cs="TimesNewRomanPSMT"/>
          <w:sz w:val="22"/>
          <w:szCs w:val="22"/>
        </w:rPr>
        <w:t>——</w:t>
      </w:r>
      <w:r>
        <w:rPr>
          <w:rFonts w:hint="eastAsia"/>
        </w:rPr>
        <w:t>被测设备第</w:t>
      </w:r>
      <w:r>
        <w:t>i个定位结果在已知观测点上的站心地平坐标系下高坐标，单位为米（ｍ）。</w:t>
      </w:r>
    </w:p>
    <w:p w14:paraId="4F1B5737">
      <w:pPr>
        <w:pStyle w:val="77"/>
        <w:rPr>
          <w:rFonts w:ascii="黑体" w:hAnsi="黑体" w:eastAsia="黑体"/>
        </w:rPr>
      </w:pPr>
      <w:r>
        <w:rPr>
          <w:rFonts w:hint="eastAsia" w:ascii="黑体" w:hAnsi="黑体" w:eastAsia="黑体"/>
        </w:rPr>
        <w:t>PPP</w:t>
      </w:r>
      <w:r>
        <w:rPr>
          <w:rFonts w:ascii="黑体" w:hAnsi="黑体" w:eastAsia="黑体"/>
        </w:rPr>
        <w:t>定位精度</w:t>
      </w:r>
    </w:p>
    <w:p w14:paraId="66EDB66A">
      <w:pPr>
        <w:pStyle w:val="41"/>
      </w:pPr>
      <w:r>
        <w:rPr>
          <w:rFonts w:hint="eastAsia"/>
          <w:szCs w:val="21"/>
        </w:rPr>
        <w:t>将</w:t>
      </w:r>
      <w:r>
        <w:rPr>
          <w:rFonts w:hint="eastAsia"/>
        </w:rPr>
        <w:t>采集终端远程通信单元</w:t>
      </w:r>
      <w:r>
        <w:rPr>
          <w:rFonts w:hint="eastAsia"/>
          <w:szCs w:val="21"/>
        </w:rPr>
        <w:t>的天线按使用状态固定在一个空旷环境的位置已知的标准点上，每次上电</w:t>
      </w:r>
      <w:r>
        <w:rPr>
          <w:szCs w:val="21"/>
        </w:rPr>
        <w:t>30min</w:t>
      </w:r>
      <w:r>
        <w:rPr>
          <w:rFonts w:hint="eastAsia"/>
          <w:szCs w:val="21"/>
        </w:rPr>
        <w:t>后断电</w:t>
      </w:r>
      <w:r>
        <w:rPr>
          <w:szCs w:val="21"/>
        </w:rPr>
        <w:t>1</w:t>
      </w:r>
      <w:r>
        <w:rPr>
          <w:rFonts w:hint="eastAsia"/>
          <w:szCs w:val="21"/>
        </w:rPr>
        <w:t>分钟，总共测试</w:t>
      </w:r>
      <w:r>
        <w:rPr>
          <w:szCs w:val="21"/>
        </w:rPr>
        <w:t>10</w:t>
      </w:r>
      <w:r>
        <w:rPr>
          <w:rFonts w:hint="eastAsia"/>
          <w:szCs w:val="21"/>
        </w:rPr>
        <w:t>次，获取</w:t>
      </w:r>
      <w:r>
        <w:rPr>
          <w:szCs w:val="21"/>
        </w:rPr>
        <w:t>10</w:t>
      </w:r>
      <w:r>
        <w:rPr>
          <w:rFonts w:hint="eastAsia"/>
          <w:szCs w:val="21"/>
        </w:rPr>
        <w:t>组测试数据；统计每次数据</w:t>
      </w:r>
      <w:r>
        <w:rPr>
          <w:szCs w:val="21"/>
        </w:rPr>
        <w:t>20min-30min</w:t>
      </w:r>
      <w:r>
        <w:rPr>
          <w:rFonts w:hint="eastAsia"/>
          <w:szCs w:val="21"/>
        </w:rPr>
        <w:t>内共</w:t>
      </w:r>
      <w:r>
        <w:rPr>
          <w:szCs w:val="21"/>
        </w:rPr>
        <w:t>10min</w:t>
      </w:r>
      <w:r>
        <w:rPr>
          <w:rFonts w:hint="eastAsia"/>
          <w:szCs w:val="21"/>
        </w:rPr>
        <w:t>数据的误差</w:t>
      </w:r>
      <w:r>
        <w:rPr>
          <w:szCs w:val="21"/>
        </w:rPr>
        <w:t>rms</w:t>
      </w:r>
      <w:r>
        <w:rPr>
          <w:rFonts w:hint="eastAsia"/>
        </w:rPr>
        <w:t>，</w:t>
      </w:r>
      <w:r>
        <w:rPr>
          <w:szCs w:val="21"/>
        </w:rPr>
        <w:t>rms</w:t>
      </w:r>
      <w:r>
        <w:rPr>
          <w:rFonts w:hint="eastAsia"/>
          <w:szCs w:val="21"/>
        </w:rPr>
        <w:t>参考公式3、公式4计算：</w:t>
      </w:r>
    </w:p>
    <w:p w14:paraId="487BEDC1">
      <w:pPr>
        <w:pStyle w:val="41"/>
        <w:ind w:firstLine="0" w:firstLineChars="0"/>
        <w:jc w:val="right"/>
      </w:pPr>
      <w:r>
        <w:rPr>
          <w:position w:val="-26"/>
        </w:rPr>
        <w:object>
          <v:shape id="_x0000_i1025" o:spt="75" type="#_x0000_t75" style="height:35.55pt;width:186.45pt;" o:ole="t" filled="f" o:preferrelative="t" stroked="f" coordsize="21600,21600">
            <v:path/>
            <v:fill on="f" focussize="0,0"/>
            <v:stroke on="f" joinstyle="miter"/>
            <v:imagedata r:id="rId15" o:title=""/>
            <o:lock v:ext="edit" aspectratio="t"/>
            <w10:wrap type="none"/>
            <w10:anchorlock/>
          </v:shape>
          <o:OLEObject Type="Embed" ProgID="Equation.DSMT4" ShapeID="_x0000_i1025" DrawAspect="Content" ObjectID="_1468075725" r:id="rId14">
            <o:LockedField>false</o:LockedField>
          </o:OLEObject>
        </w:object>
      </w:r>
      <w:r>
        <w:rPr>
          <w:rFonts w:hAnsi="TimesNewRomanPSMT"/>
          <w:szCs w:val="21"/>
        </w:rPr>
        <w:t>……………………………</w:t>
      </w:r>
      <w:r>
        <w:rPr>
          <w:rFonts w:hint="eastAsia" w:hAnsi="TimesNewRomanPSMT"/>
          <w:szCs w:val="21"/>
        </w:rPr>
        <w:t>.（3）</w:t>
      </w:r>
    </w:p>
    <w:p w14:paraId="555CD882">
      <w:pPr>
        <w:pStyle w:val="7"/>
        <w:jc w:val="right"/>
      </w:pPr>
    </w:p>
    <w:p w14:paraId="65EAD36F">
      <w:pPr>
        <w:pStyle w:val="41"/>
        <w:ind w:firstLine="0" w:firstLineChars="0"/>
        <w:jc w:val="right"/>
      </w:pPr>
      <w:r>
        <w:rPr>
          <w:position w:val="-26"/>
        </w:rPr>
        <w:object>
          <v:shape id="_x0000_i1026" o:spt="75" type="#_x0000_t75" style="height:35.55pt;width:118.7pt;" o:ole="t" filled="f" o:preferrelative="t" stroked="f" coordsize="21600,21600">
            <v:path/>
            <v:fill on="f" focussize="0,0"/>
            <v:stroke on="f" joinstyle="miter"/>
            <v:imagedata r:id="rId17" o:title=""/>
            <o:lock v:ext="edit" aspectratio="t"/>
            <w10:wrap type="none"/>
            <w10:anchorlock/>
          </v:shape>
          <o:OLEObject Type="Embed" ProgID="Equation.DSMT4" ShapeID="_x0000_i1026" DrawAspect="Content" ObjectID="_1468075726" r:id="rId16">
            <o:LockedField>false</o:LockedField>
          </o:OLEObject>
        </w:object>
      </w:r>
      <w:r>
        <w:rPr>
          <w:rFonts w:hAnsi="TimesNewRomanPSMT"/>
          <w:szCs w:val="21"/>
        </w:rPr>
        <w:t>……………………………</w:t>
      </w:r>
      <w:r>
        <w:rPr>
          <w:rFonts w:hint="eastAsia" w:hAnsi="TimesNewRomanPSMT"/>
          <w:szCs w:val="21"/>
        </w:rPr>
        <w:t>.（4）</w:t>
      </w:r>
    </w:p>
    <w:p w14:paraId="7CBE2BDA">
      <w:pPr>
        <w:pStyle w:val="7"/>
        <w:jc w:val="center"/>
      </w:pPr>
    </w:p>
    <w:p w14:paraId="26A544EE">
      <w:pPr>
        <w:pStyle w:val="41"/>
      </w:pPr>
      <w:r>
        <w:rPr>
          <w:rFonts w:hint="eastAsia"/>
        </w:rPr>
        <w:t>式中：</w:t>
      </w:r>
    </w:p>
    <w:p w14:paraId="2D522652">
      <w:pPr>
        <w:pStyle w:val="41"/>
        <w:tabs>
          <w:tab w:val="clear" w:pos="4201"/>
          <w:tab w:val="clear" w:pos="9298"/>
        </w:tabs>
        <w:rPr>
          <w:rFonts w:ascii="Cambria Math" w:hAnsi="Cambria Math"/>
        </w:rPr>
      </w:pPr>
      <m:oMath>
        <m:sSub>
          <m:sSubPr>
            <m:ctrlPr>
              <w:rPr>
                <w:rFonts w:ascii="Cambria Math" w:hAnsi="Cambria Math"/>
                <w:i/>
              </w:rPr>
            </m:ctrlPr>
          </m:sSubPr>
          <m:e>
            <m:r>
              <m:rPr/>
              <w:rPr>
                <w:rFonts w:ascii="Cambria Math" w:hAnsi="Cambria Math"/>
              </w:rPr>
              <m:t>m</m:t>
            </m:r>
            <m:ctrlPr>
              <w:rPr>
                <w:rFonts w:ascii="Cambria Math" w:hAnsi="Cambria Math"/>
                <w:i/>
              </w:rPr>
            </m:ctrlPr>
          </m:e>
          <m:sub>
            <m:r>
              <m:rPr/>
              <w:rPr>
                <w:rFonts w:ascii="Cambria Math" w:hAnsi="Cambria Math"/>
              </w:rPr>
              <m:t>ℎ</m:t>
            </m:r>
            <m:ctrlPr>
              <w:rPr>
                <w:rFonts w:ascii="Cambria Math" w:hAnsi="Cambria Math"/>
                <w:i/>
              </w:rPr>
            </m:ctrlPr>
          </m:sub>
        </m:sSub>
      </m:oMath>
      <w:r>
        <w:rPr>
          <w:rFonts w:hint="eastAsia" w:hAnsi="Cambria Math"/>
        </w:rPr>
        <w:t>、</w:t>
      </w:r>
      <m:oMath>
        <m:sSub>
          <m:sSubPr>
            <m:ctrlPr>
              <w:rPr>
                <w:rFonts w:ascii="Cambria Math" w:hAnsi="Cambria Math"/>
                <w:i/>
              </w:rPr>
            </m:ctrlPr>
          </m:sSubPr>
          <m:e>
            <m:r>
              <m:rPr/>
              <w:rPr>
                <w:rFonts w:ascii="Cambria Math" w:hAnsi="Cambria Math"/>
              </w:rPr>
              <m:t>m</m:t>
            </m:r>
            <m:ctrlPr>
              <w:rPr>
                <w:rFonts w:ascii="Cambria Math" w:hAnsi="Cambria Math"/>
                <w:i/>
              </w:rPr>
            </m:ctrlPr>
          </m:e>
          <m:sub>
            <m:r>
              <m:rPr/>
              <w:rPr>
                <w:rFonts w:ascii="Cambria Math" w:hAnsi="Cambria Math"/>
              </w:rPr>
              <m:t>v</m:t>
            </m:r>
            <m:ctrlPr>
              <w:rPr>
                <w:rFonts w:ascii="Cambria Math" w:hAnsi="Cambria Math"/>
                <w:i/>
              </w:rPr>
            </m:ctrlPr>
          </m:sub>
        </m:sSub>
      </m:oMath>
      <w:r>
        <w:rPr>
          <w:rFonts w:hint="eastAsia" w:ascii="Cambria Math" w:hAnsi="Cambria Math"/>
        </w:rPr>
        <w:t>分别为定位水平、垂直精度，单位</w:t>
      </w:r>
      <w:r>
        <w:rPr>
          <w:rFonts w:ascii="Cambria Math" w:hAnsi="Cambria Math"/>
        </w:rPr>
        <w:t>m</w:t>
      </w:r>
      <w:r>
        <w:rPr>
          <w:rFonts w:hint="eastAsia" w:ascii="Cambria Math" w:hAnsi="Cambria Math"/>
        </w:rPr>
        <w:t>；</w:t>
      </w:r>
    </w:p>
    <w:p w14:paraId="4394D2AF">
      <w:pPr>
        <w:pStyle w:val="41"/>
        <w:tabs>
          <w:tab w:val="clear" w:pos="4201"/>
          <w:tab w:val="clear" w:pos="9298"/>
        </w:tabs>
        <w:rPr>
          <w:rFonts w:ascii="Cambria Math" w:hAnsi="Cambria Math"/>
        </w:rPr>
      </w:pPr>
      <m:oMath>
        <m:sSub>
          <m:sSubPr>
            <m:ctrlPr>
              <w:rPr>
                <w:rFonts w:ascii="Cambria Math" w:hAnsi="Cambria Math"/>
                <w:i/>
              </w:rPr>
            </m:ctrlPr>
          </m:sSubPr>
          <m:e>
            <m:r>
              <m:rPr/>
              <w:rPr>
                <w:rFonts w:ascii="Cambria Math" w:hAnsi="Cambria Math"/>
              </w:rPr>
              <m:t>N</m:t>
            </m:r>
            <m:ctrlPr>
              <w:rPr>
                <w:rFonts w:ascii="Cambria Math" w:hAnsi="Cambria Math"/>
                <w:i/>
              </w:rPr>
            </m:ctrlPr>
          </m:e>
          <m:sub>
            <m:r>
              <m:rPr/>
              <w:rPr>
                <w:rFonts w:ascii="Cambria Math" w:hAnsi="Cambria Math"/>
              </w:rPr>
              <m:t>0</m:t>
            </m:r>
            <m:ctrlPr>
              <w:rPr>
                <w:rFonts w:ascii="Cambria Math" w:hAnsi="Cambria Math"/>
                <w:i/>
              </w:rPr>
            </m:ctrlPr>
          </m:sub>
        </m:sSub>
      </m:oMath>
      <w:r>
        <w:rPr>
          <w:rFonts w:hint="eastAsia" w:hAnsi="Cambria Math"/>
        </w:rPr>
        <w:t>、</w:t>
      </w:r>
      <m:oMath>
        <m:sSub>
          <m:sSubPr>
            <m:ctrlPr>
              <w:rPr>
                <w:rFonts w:ascii="Cambria Math" w:hAnsi="Cambria Math"/>
                <w:i/>
              </w:rPr>
            </m:ctrlPr>
          </m:sSubPr>
          <m:e>
            <m:r>
              <m:rPr/>
              <w:rPr>
                <w:rFonts w:ascii="Cambria Math" w:hAnsi="Cambria Math"/>
              </w:rPr>
              <m:t>E</m:t>
            </m:r>
            <m:ctrlPr>
              <w:rPr>
                <w:rFonts w:ascii="Cambria Math" w:hAnsi="Cambria Math"/>
                <w:i/>
              </w:rPr>
            </m:ctrlPr>
          </m:e>
          <m:sub>
            <m:r>
              <m:rPr/>
              <w:rPr>
                <w:rFonts w:ascii="Cambria Math" w:hAnsi="Cambria Math"/>
              </w:rPr>
              <m:t>0</m:t>
            </m:r>
            <m:ctrlPr>
              <w:rPr>
                <w:rFonts w:ascii="Cambria Math" w:hAnsi="Cambria Math"/>
                <w:i/>
              </w:rPr>
            </m:ctrlPr>
          </m:sub>
        </m:sSub>
      </m:oMath>
      <w:r>
        <w:rPr>
          <w:rFonts w:hint="eastAsia" w:hAnsi="Cambria Math"/>
        </w:rPr>
        <w:t>、</w:t>
      </w:r>
      <m:oMath>
        <m:sSub>
          <m:sSubPr>
            <m:ctrlPr>
              <w:rPr>
                <w:rFonts w:ascii="Cambria Math" w:hAnsi="Cambria Math"/>
                <w:i/>
              </w:rPr>
            </m:ctrlPr>
          </m:sSubPr>
          <m:e>
            <m:r>
              <m:rPr/>
              <w:rPr>
                <w:rFonts w:ascii="Cambria Math" w:hAnsi="Cambria Math"/>
              </w:rPr>
              <m:t>U</m:t>
            </m:r>
            <m:ctrlPr>
              <w:rPr>
                <w:rFonts w:ascii="Cambria Math" w:hAnsi="Cambria Math"/>
                <w:i/>
              </w:rPr>
            </m:ctrlPr>
          </m:e>
          <m:sub>
            <m:r>
              <m:rPr/>
              <w:rPr>
                <w:rFonts w:ascii="Cambria Math" w:hAnsi="Cambria Math"/>
              </w:rPr>
              <m:t>0</m:t>
            </m:r>
            <m:ctrlPr>
              <w:rPr>
                <w:rFonts w:ascii="Cambria Math" w:hAnsi="Cambria Math"/>
                <w:i/>
              </w:rPr>
            </m:ctrlPr>
          </m:sub>
        </m:sSub>
      </m:oMath>
      <w:r>
        <w:rPr>
          <w:rFonts w:hint="eastAsia" w:ascii="Cambria Math" w:hAnsi="Cambria Math"/>
        </w:rPr>
        <w:t>为已经点在站心坐标系下的北、东、高坐标，单位</w:t>
      </w:r>
      <w:r>
        <w:rPr>
          <w:rFonts w:ascii="Cambria Math" w:hAnsi="Cambria Math"/>
        </w:rPr>
        <w:t>m;</w:t>
      </w:r>
    </w:p>
    <w:p w14:paraId="3F635492">
      <w:pPr>
        <w:pStyle w:val="41"/>
        <w:tabs>
          <w:tab w:val="clear" w:pos="4201"/>
          <w:tab w:val="clear" w:pos="9298"/>
        </w:tabs>
        <w:rPr>
          <w:rFonts w:ascii="Cambria Math" w:hAnsi="Cambria Math"/>
        </w:rPr>
      </w:pPr>
      <m:oMath>
        <m:sSub>
          <m:sSubPr>
            <m:ctrlPr>
              <w:rPr>
                <w:rFonts w:ascii="Cambria Math" w:hAnsi="Cambria Math"/>
                <w:i/>
              </w:rPr>
            </m:ctrlPr>
          </m:sSubPr>
          <m:e>
            <m:r>
              <m:rPr/>
              <w:rPr>
                <w:rFonts w:ascii="Cambria Math" w:hAnsi="Cambria Math"/>
              </w:rPr>
              <m:t>N</m:t>
            </m:r>
            <m:ctrlPr>
              <w:rPr>
                <w:rFonts w:ascii="Cambria Math" w:hAnsi="Cambria Math"/>
                <w:i/>
              </w:rPr>
            </m:ctrlPr>
          </m:e>
          <m:sub>
            <m:r>
              <m:rPr/>
              <w:rPr>
                <w:rFonts w:ascii="Cambria Math" w:hAnsi="Cambria Math"/>
              </w:rPr>
              <m:t>I</m:t>
            </m:r>
            <m:ctrlPr>
              <w:rPr>
                <w:rFonts w:ascii="Cambria Math" w:hAnsi="Cambria Math"/>
                <w:i/>
              </w:rPr>
            </m:ctrlPr>
          </m:sub>
        </m:sSub>
      </m:oMath>
      <w:r>
        <w:rPr>
          <w:rFonts w:hint="eastAsia" w:hAnsi="Cambria Math"/>
        </w:rPr>
        <w:t>、</w:t>
      </w:r>
      <m:oMath>
        <m:sSub>
          <m:sSubPr>
            <m:ctrlPr>
              <w:rPr>
                <w:rFonts w:ascii="Cambria Math" w:hAnsi="Cambria Math"/>
                <w:i/>
              </w:rPr>
            </m:ctrlPr>
          </m:sSubPr>
          <m:e>
            <m:r>
              <m:rPr/>
              <w:rPr>
                <w:rFonts w:ascii="Cambria Math" w:hAnsi="Cambria Math"/>
              </w:rPr>
              <m:t>E</m:t>
            </m:r>
            <m:ctrlPr>
              <w:rPr>
                <w:rFonts w:ascii="Cambria Math" w:hAnsi="Cambria Math"/>
                <w:i/>
              </w:rPr>
            </m:ctrlPr>
          </m:e>
          <m:sub>
            <m:r>
              <m:rPr/>
              <w:rPr>
                <w:rFonts w:ascii="Cambria Math" w:hAnsi="Cambria Math"/>
              </w:rPr>
              <m:t>I</m:t>
            </m:r>
            <m:ctrlPr>
              <w:rPr>
                <w:rFonts w:ascii="Cambria Math" w:hAnsi="Cambria Math"/>
                <w:i/>
              </w:rPr>
            </m:ctrlPr>
          </m:sub>
        </m:sSub>
      </m:oMath>
      <w:r>
        <w:rPr>
          <w:rFonts w:hint="eastAsia" w:hAnsi="Cambria Math"/>
        </w:rPr>
        <w:t>、</w:t>
      </w:r>
      <m:oMath>
        <m:sSub>
          <m:sSubPr>
            <m:ctrlPr>
              <w:rPr>
                <w:rFonts w:ascii="Cambria Math" w:hAnsi="Cambria Math"/>
                <w:i/>
              </w:rPr>
            </m:ctrlPr>
          </m:sSubPr>
          <m:e>
            <m:r>
              <m:rPr/>
              <w:rPr>
                <w:rFonts w:ascii="Cambria Math" w:hAnsi="Cambria Math"/>
              </w:rPr>
              <m:t>U</m:t>
            </m:r>
            <m:ctrlPr>
              <w:rPr>
                <w:rFonts w:ascii="Cambria Math" w:hAnsi="Cambria Math"/>
                <w:i/>
              </w:rPr>
            </m:ctrlPr>
          </m:e>
          <m:sub>
            <m:r>
              <m:rPr/>
              <w:rPr>
                <w:rFonts w:ascii="Cambria Math" w:hAnsi="Cambria Math"/>
              </w:rPr>
              <m:t>I</m:t>
            </m:r>
            <m:ctrlPr>
              <w:rPr>
                <w:rFonts w:ascii="Cambria Math" w:hAnsi="Cambria Math"/>
                <w:i/>
              </w:rPr>
            </m:ctrlPr>
          </m:sub>
        </m:sSub>
      </m:oMath>
      <w:r>
        <w:rPr>
          <w:rFonts w:hint="eastAsia" w:ascii="Cambria Math" w:hAnsi="Cambria Math"/>
        </w:rPr>
        <w:t>为第i个定位结果在站心坐标系下的北、东、高坐标，单位</w:t>
      </w:r>
      <w:r>
        <w:rPr>
          <w:rFonts w:ascii="Cambria Math" w:hAnsi="Cambria Math"/>
        </w:rPr>
        <w:t>m;</w:t>
      </w:r>
    </w:p>
    <w:p w14:paraId="60B04C70">
      <w:pPr>
        <w:pStyle w:val="41"/>
        <w:tabs>
          <w:tab w:val="clear" w:pos="4201"/>
          <w:tab w:val="clear" w:pos="9298"/>
        </w:tabs>
        <w:rPr>
          <w:rFonts w:ascii="Cambria Math" w:hAnsi="Cambria Math"/>
        </w:rPr>
      </w:pPr>
      <w:r>
        <w:rPr>
          <w:rFonts w:ascii="Cambria Math" w:hAnsi="Cambria Math"/>
        </w:rPr>
        <w:object>
          <v:shape id="_x0000_i1027" o:spt="75" type="#_x0000_t75" style="height:9.45pt;width:9pt;" o:ole="t" filled="f" o:preferrelative="t" stroked="f" coordsize="21600,21600">
            <v:path/>
            <v:fill on="f" focussize="0,0"/>
            <v:stroke on="f" joinstyle="miter"/>
            <v:imagedata r:id="rId19" o:title=""/>
            <o:lock v:ext="edit" aspectratio="t"/>
            <w10:wrap type="none"/>
            <w10:anchorlock/>
          </v:shape>
          <o:OLEObject Type="Embed" ProgID="Equation.DSMT4" ShapeID="_x0000_i1027" DrawAspect="Content" ObjectID="_1468075727" r:id="rId18">
            <o:LockedField>false</o:LockedField>
          </o:OLEObject>
        </w:object>
      </w:r>
      <w:r>
        <w:rPr>
          <w:rFonts w:hint="eastAsia" w:ascii="Cambria Math" w:hAnsi="Cambria Math"/>
        </w:rPr>
        <w:t>为定位坐标个数。</w:t>
      </w:r>
    </w:p>
    <w:p w14:paraId="66715800">
      <w:pPr>
        <w:pStyle w:val="36"/>
        <w:numPr>
          <w:ilvl w:val="2"/>
          <w:numId w:val="9"/>
        </w:numPr>
        <w:spacing w:before="156" w:after="156"/>
      </w:pPr>
      <w:r>
        <w:rPr>
          <w:rFonts w:hint="eastAsia"/>
        </w:rPr>
        <w:t>授时精度</w:t>
      </w:r>
    </w:p>
    <w:p w14:paraId="2549E6BF">
      <w:pPr>
        <w:pStyle w:val="41"/>
      </w:pPr>
      <w:r>
        <w:rPr>
          <w:rFonts w:hint="eastAsia"/>
        </w:rPr>
        <w:t>按照</w:t>
      </w:r>
      <w:r>
        <w:t>BD 420006</w:t>
      </w:r>
      <w:r>
        <w:rPr>
          <w:rFonts w:hint="eastAsia"/>
        </w:rPr>
        <w:t>-</w:t>
      </w:r>
      <w:r>
        <w:t>2015</w:t>
      </w:r>
      <w:r>
        <w:rPr>
          <w:rFonts w:hint="eastAsia"/>
        </w:rPr>
        <w:t>中</w:t>
      </w:r>
      <w:r>
        <w:t>5.6.7</w:t>
      </w:r>
      <w:r>
        <w:rPr>
          <w:rFonts w:hint="eastAsia"/>
        </w:rPr>
        <w:t>规定的方法进行，检测结果应符合</w:t>
      </w:r>
      <w:r>
        <w:t>5.</w:t>
      </w:r>
      <w:r>
        <w:rPr>
          <w:rFonts w:hint="eastAsia"/>
        </w:rPr>
        <w:t>6.3</w:t>
      </w:r>
      <w:r>
        <w:t>规定的要求。测试采用时刻比对分析法，设备连接</w:t>
      </w:r>
      <w:r>
        <w:rPr>
          <w:rFonts w:hint="eastAsia"/>
        </w:rPr>
        <w:t>应与</w:t>
      </w:r>
      <w:r>
        <w:t>图</w:t>
      </w:r>
      <w:r>
        <w:rPr>
          <w:rFonts w:hint="eastAsia"/>
        </w:rPr>
        <w:t>2连接结构相符合</w:t>
      </w:r>
      <w:r>
        <w:t>，该方法主要以均值和标准偏差为测量依据。</w:t>
      </w:r>
    </w:p>
    <w:p w14:paraId="1F25F2B3">
      <w:pPr>
        <w:pStyle w:val="7"/>
        <w:jc w:val="center"/>
      </w:pPr>
      <w:r>
        <w:drawing>
          <wp:inline distT="0" distB="0" distL="0" distR="0">
            <wp:extent cx="4958080" cy="2741930"/>
            <wp:effectExtent l="0" t="0" r="0" b="0"/>
            <wp:docPr id="31309890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098909" name="图片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4961517" cy="2744190"/>
                    </a:xfrm>
                    <a:prstGeom prst="rect">
                      <a:avLst/>
                    </a:prstGeom>
                    <a:noFill/>
                    <a:ln>
                      <a:noFill/>
                    </a:ln>
                  </pic:spPr>
                </pic:pic>
              </a:graphicData>
            </a:graphic>
          </wp:inline>
        </w:drawing>
      </w:r>
    </w:p>
    <w:p w14:paraId="0DDC712E">
      <w:pPr>
        <w:pStyle w:val="7"/>
        <w:jc w:val="center"/>
        <w:rPr>
          <w:szCs w:val="21"/>
        </w:rPr>
      </w:pPr>
      <w:r>
        <w:rPr>
          <w:rFonts w:hint="eastAsia"/>
        </w:rPr>
        <w:t>图</w:t>
      </w:r>
      <w:r>
        <w:fldChar w:fldCharType="begin"/>
      </w:r>
      <w:r>
        <w:rPr>
          <w:rFonts w:hint="eastAsia"/>
        </w:rPr>
        <w:instrText xml:space="preserve">SEQ 图 \* ARABIC</w:instrText>
      </w:r>
      <w:r>
        <w:fldChar w:fldCharType="separate"/>
      </w:r>
      <w:r>
        <w:t>2</w:t>
      </w:r>
      <w:r>
        <w:fldChar w:fldCharType="end"/>
      </w:r>
      <w:r>
        <w:rPr>
          <w:rFonts w:hint="eastAsia"/>
        </w:rPr>
        <w:t>测试设备连接图</w:t>
      </w:r>
    </w:p>
    <w:p w14:paraId="5CEEB55F">
      <w:pPr>
        <w:widowControl w:val="0"/>
        <w:autoSpaceDE w:val="0"/>
        <w:autoSpaceDN w:val="0"/>
        <w:adjustRightInd w:val="0"/>
        <w:rPr>
          <w:rFonts w:hAnsi="Times New Roman"/>
          <w:sz w:val="21"/>
          <w:szCs w:val="21"/>
        </w:rPr>
      </w:pPr>
    </w:p>
    <w:p w14:paraId="4CB0D82D">
      <w:pPr>
        <w:pStyle w:val="41"/>
        <w:rPr>
          <w:szCs w:val="21"/>
        </w:rPr>
      </w:pPr>
      <w:r>
        <w:rPr>
          <w:rFonts w:hint="eastAsia"/>
          <w:szCs w:val="21"/>
        </w:rPr>
        <w:t>测试步骤如下：</w:t>
      </w:r>
    </w:p>
    <w:p w14:paraId="376207F2">
      <w:pPr>
        <w:pStyle w:val="41"/>
        <w:rPr>
          <w:szCs w:val="21"/>
        </w:rPr>
      </w:pPr>
      <w:r>
        <w:rPr>
          <w:szCs w:val="21"/>
        </w:rPr>
        <w:t xml:space="preserve">a) </w:t>
      </w:r>
      <w:r>
        <w:rPr>
          <w:rFonts w:hint="eastAsia"/>
          <w:szCs w:val="21"/>
        </w:rPr>
        <w:t>按图所示连接设备；</w:t>
      </w:r>
    </w:p>
    <w:p w14:paraId="46D7A156">
      <w:pPr>
        <w:pStyle w:val="41"/>
        <w:rPr>
          <w:szCs w:val="21"/>
        </w:rPr>
      </w:pPr>
      <w:r>
        <w:rPr>
          <w:szCs w:val="21"/>
        </w:rPr>
        <w:t xml:space="preserve">b) </w:t>
      </w:r>
      <w:r>
        <w:rPr>
          <w:rFonts w:hint="eastAsia"/>
          <w:szCs w:val="21"/>
        </w:rPr>
        <w:t>按要求预热被测远程通信单元；</w:t>
      </w:r>
    </w:p>
    <w:p w14:paraId="59553296">
      <w:pPr>
        <w:pStyle w:val="41"/>
        <w:rPr>
          <w:szCs w:val="21"/>
        </w:rPr>
      </w:pPr>
      <w:r>
        <w:rPr>
          <w:szCs w:val="21"/>
        </w:rPr>
        <w:t xml:space="preserve">c) </w:t>
      </w:r>
      <w:r>
        <w:rPr>
          <w:rFonts w:hint="eastAsia"/>
          <w:szCs w:val="21"/>
        </w:rPr>
        <w:t>按要求设置被测远程通信单元的工作模式，输入其内部时延，对工作在位置保持模式下的远程通信单元，还应输入其天线坐标，天线坐标的误差不大于</w:t>
      </w:r>
      <w:r>
        <w:rPr>
          <w:szCs w:val="21"/>
        </w:rPr>
        <w:t>0.1m</w:t>
      </w:r>
      <w:r>
        <w:rPr>
          <w:rFonts w:hint="eastAsia"/>
          <w:szCs w:val="21"/>
        </w:rPr>
        <w:t>；</w:t>
      </w:r>
    </w:p>
    <w:p w14:paraId="3482963C">
      <w:pPr>
        <w:pStyle w:val="41"/>
        <w:rPr>
          <w:szCs w:val="21"/>
        </w:rPr>
      </w:pPr>
      <w:r>
        <w:rPr>
          <w:szCs w:val="21"/>
        </w:rPr>
        <w:t xml:space="preserve">d) </w:t>
      </w:r>
      <w:r>
        <w:rPr>
          <w:rFonts w:hint="eastAsia"/>
          <w:szCs w:val="21"/>
        </w:rPr>
        <w:t>测量标准时间频率源输出的秒脉冲与被测远程通信单元输出的秒脉冲之间的时差</w:t>
      </w:r>
      <w:r>
        <w:rPr>
          <w:szCs w:val="21"/>
        </w:rPr>
        <w:t>Δi</w:t>
      </w:r>
      <w:r>
        <w:rPr>
          <w:rFonts w:hint="eastAsia"/>
          <w:szCs w:val="21"/>
        </w:rPr>
        <w:t>，每</w:t>
      </w:r>
      <w:r>
        <w:rPr>
          <w:szCs w:val="21"/>
        </w:rPr>
        <w:t>1s</w:t>
      </w:r>
      <w:r>
        <w:rPr>
          <w:rFonts w:hint="eastAsia"/>
          <w:szCs w:val="21"/>
        </w:rPr>
        <w:t>测量一次，连续测量</w:t>
      </w:r>
      <w:r>
        <w:rPr>
          <w:szCs w:val="21"/>
        </w:rPr>
        <w:t>24h</w:t>
      </w:r>
      <w:r>
        <w:rPr>
          <w:rFonts w:hint="eastAsia"/>
          <w:szCs w:val="21"/>
        </w:rPr>
        <w:t>，记录测量值。</w:t>
      </w:r>
    </w:p>
    <w:p w14:paraId="10CA4B4D">
      <w:pPr>
        <w:pStyle w:val="41"/>
        <w:rPr>
          <w:szCs w:val="21"/>
        </w:rPr>
      </w:pPr>
      <w:r>
        <w:rPr>
          <w:rFonts w:hint="eastAsia"/>
          <w:szCs w:val="21"/>
        </w:rPr>
        <w:t>数据处理要求如下：</w:t>
      </w:r>
    </w:p>
    <w:p w14:paraId="3BB771BC">
      <w:pPr>
        <w:pStyle w:val="41"/>
        <w:numPr>
          <w:ilvl w:val="0"/>
          <w:numId w:val="17"/>
        </w:numPr>
        <w:rPr>
          <w:rFonts w:hAnsi="TimesNewRomanPSMT"/>
          <w:szCs w:val="21"/>
        </w:rPr>
      </w:pPr>
      <w:r>
        <w:rPr>
          <w:rFonts w:hint="eastAsia" w:hAnsi="TimesNewRomanPSMT"/>
          <w:szCs w:val="21"/>
        </w:rPr>
        <w:t>按公式5计算平均值：</w:t>
      </w:r>
    </w:p>
    <w:p w14:paraId="07930BF2">
      <w:pPr>
        <w:pStyle w:val="41"/>
        <w:tabs>
          <w:tab w:val="left" w:pos="1140"/>
        </w:tabs>
        <w:ind w:left="726" w:firstLine="0" w:firstLineChars="0"/>
        <w:jc w:val="right"/>
        <w:rPr>
          <w:rFonts w:hAnsi="TimesNewRomanPSMT"/>
          <w:szCs w:val="21"/>
        </w:rPr>
      </w:pPr>
      <m:oMath>
        <m:r>
          <m:rPr>
            <m:sty m:val="p"/>
          </m:rPr>
          <w:rPr>
            <w:rFonts w:ascii="Cambria Math" w:hAnsi="Cambria Math"/>
            <w:szCs w:val="21"/>
          </w:rPr>
          <m:t>∆=</m:t>
        </m:r>
        <m:acc>
          <m:accPr>
            <m:chr m:val="̅"/>
            <m:ctrlPr>
              <w:rPr>
                <w:rFonts w:ascii="Cambria Math" w:hAnsi="Cambria Math"/>
                <w:szCs w:val="21"/>
              </w:rPr>
            </m:ctrlPr>
          </m:accPr>
          <m:e>
            <m:r>
              <m:rPr/>
              <w:rPr>
                <w:rFonts w:ascii="Cambria Math" w:hAnsi="Cambria Math"/>
                <w:szCs w:val="21"/>
              </w:rPr>
              <m:t>∆</m:t>
            </m:r>
            <m:ctrlPr>
              <w:rPr>
                <w:rFonts w:ascii="Cambria Math" w:hAnsi="Cambria Math"/>
                <w:szCs w:val="21"/>
              </w:rPr>
            </m:ctrlPr>
          </m:e>
        </m:acc>
        <m:r>
          <m:rPr>
            <m:nor/>
            <m:sty m:val="p"/>
          </m:rPr>
          <w:rPr>
            <w:rFonts w:hint="eastAsia" w:ascii="Cambria Math" w:hAnsi="Cambria Math"/>
            <w:b w:val="0"/>
            <w:i w:val="0"/>
            <w:szCs w:val="21"/>
          </w:rPr>
          <m:t>-τ1-τ2+τ3+</m:t>
        </m:r>
        <m:sSub>
          <m:sSubPr>
            <m:ctrlPr>
              <w:rPr>
                <w:rFonts w:ascii="Cambria Math" w:hAnsi="Cambria Math"/>
                <w:i/>
                <w:szCs w:val="21"/>
              </w:rPr>
            </m:ctrlPr>
          </m:sSubPr>
          <m:e>
            <m:r>
              <m:rPr/>
              <w:rPr>
                <w:rFonts w:ascii="Cambria Math" w:hAnsi="Cambria Math"/>
                <w:szCs w:val="21"/>
              </w:rPr>
              <m:t>∆</m:t>
            </m:r>
            <m:ctrlPr>
              <w:rPr>
                <w:rFonts w:ascii="Cambria Math" w:hAnsi="Cambria Math"/>
                <w:i/>
                <w:szCs w:val="21"/>
              </w:rPr>
            </m:ctrlPr>
          </m:e>
          <m:sub>
            <m:r>
              <m:rPr/>
              <w:rPr>
                <w:rFonts w:hint="eastAsia" w:ascii="Cambria Math" w:hAnsi="Cambria Math"/>
                <w:szCs w:val="21"/>
              </w:rPr>
              <m:t>ts，</m:t>
            </m:r>
            <m:ctrlPr>
              <w:rPr>
                <w:rFonts w:ascii="Cambria Math" w:hAnsi="Cambria Math"/>
                <w:i/>
                <w:szCs w:val="21"/>
              </w:rPr>
            </m:ctrlPr>
          </m:sub>
        </m:sSub>
        <m:acc>
          <m:accPr>
            <m:chr m:val="̅"/>
            <m:ctrlPr>
              <w:rPr>
                <w:rFonts w:ascii="Cambria Math" w:hAnsi="Cambria Math"/>
                <w:i/>
                <w:szCs w:val="21"/>
              </w:rPr>
            </m:ctrlPr>
          </m:accPr>
          <m:e>
            <m:r>
              <m:rPr/>
              <w:rPr>
                <w:rFonts w:ascii="Cambria Math" w:hAnsi="Cambria Math"/>
                <w:szCs w:val="21"/>
              </w:rPr>
              <m:t>∆</m:t>
            </m:r>
            <m:ctrlPr>
              <w:rPr>
                <w:rFonts w:ascii="Cambria Math" w:hAnsi="Cambria Math"/>
                <w:i/>
                <w:szCs w:val="21"/>
              </w:rPr>
            </m:ctrlPr>
          </m:e>
        </m:acc>
        <m:r>
          <m:rPr/>
          <w:rPr>
            <w:rFonts w:hint="eastAsia" w:ascii="Cambria Math" w:hAnsi="Cambria Math"/>
            <w:szCs w:val="21"/>
          </w:rPr>
          <m:t>=</m:t>
        </m:r>
        <m:d>
          <m:dPr>
            <m:ctrlPr>
              <w:rPr>
                <w:rFonts w:ascii="Cambria Math" w:hAnsi="Cambria Math"/>
                <w:i/>
                <w:szCs w:val="21"/>
              </w:rPr>
            </m:ctrlPr>
          </m:dPr>
          <m:e>
            <m:f>
              <m:fPr>
                <m:ctrlPr>
                  <w:rPr>
                    <w:rFonts w:ascii="Cambria Math" w:hAnsi="Cambria Math"/>
                    <w:i/>
                    <w:szCs w:val="21"/>
                  </w:rPr>
                </m:ctrlPr>
              </m:fPr>
              <m:num>
                <m:r>
                  <m:rPr/>
                  <w:rPr>
                    <w:rFonts w:hint="eastAsia" w:ascii="Cambria Math" w:hAnsi="Cambria Math"/>
                    <w:szCs w:val="21"/>
                  </w:rPr>
                  <m:t>1</m:t>
                </m:r>
                <m:ctrlPr>
                  <w:rPr>
                    <w:rFonts w:ascii="Cambria Math" w:hAnsi="Cambria Math"/>
                    <w:i/>
                    <w:szCs w:val="21"/>
                  </w:rPr>
                </m:ctrlPr>
              </m:num>
              <m:den>
                <m:r>
                  <m:rPr/>
                  <w:rPr>
                    <w:rFonts w:hint="eastAsia" w:ascii="Cambria Math" w:hAnsi="Cambria Math"/>
                    <w:szCs w:val="21"/>
                  </w:rPr>
                  <m:t>m</m:t>
                </m:r>
                <m:ctrlPr>
                  <w:rPr>
                    <w:rFonts w:ascii="Cambria Math" w:hAnsi="Cambria Math"/>
                    <w:i/>
                    <w:szCs w:val="21"/>
                  </w:rPr>
                </m:ctrlPr>
              </m:den>
            </m:f>
            <m:nary>
              <m:naryPr>
                <m:chr m:val="∑"/>
                <m:ctrlPr>
                  <w:rPr>
                    <w:rFonts w:ascii="Cambria Math" w:hAnsi="Cambria Math"/>
                    <w:i/>
                    <w:szCs w:val="21"/>
                  </w:rPr>
                </m:ctrlPr>
              </m:naryPr>
              <m:sub>
                <m:r>
                  <m:rPr/>
                  <w:rPr>
                    <w:rFonts w:hint="eastAsia" w:ascii="Cambria Math" w:hAnsi="Cambria Math"/>
                    <w:szCs w:val="21"/>
                  </w:rPr>
                  <m:t>i=0</m:t>
                </m:r>
                <m:ctrlPr>
                  <w:rPr>
                    <w:rFonts w:ascii="Cambria Math" w:hAnsi="Cambria Math"/>
                    <w:i/>
                    <w:szCs w:val="21"/>
                  </w:rPr>
                </m:ctrlPr>
              </m:sub>
              <m:sup>
                <m:r>
                  <m:rPr/>
                  <w:rPr>
                    <w:rFonts w:ascii="Cambria Math" w:hAnsi="Cambria Math"/>
                    <w:szCs w:val="21"/>
                  </w:rPr>
                  <m:t>m</m:t>
                </m:r>
                <m:ctrlPr>
                  <w:rPr>
                    <w:rFonts w:ascii="Cambria Math" w:hAnsi="Cambria Math"/>
                    <w:i/>
                    <w:szCs w:val="21"/>
                  </w:rPr>
                </m:ctrlPr>
              </m:sup>
              <m:e>
                <m:sSub>
                  <m:sSubPr>
                    <m:ctrlPr>
                      <w:rPr>
                        <w:rFonts w:ascii="Cambria Math" w:hAnsi="Cambria Math"/>
                        <w:i/>
                        <w:szCs w:val="21"/>
                      </w:rPr>
                    </m:ctrlPr>
                  </m:sSubPr>
                  <m:e>
                    <m:r>
                      <m:rPr/>
                      <w:rPr>
                        <w:rFonts w:ascii="Cambria Math" w:hAnsi="Cambria Math"/>
                        <w:szCs w:val="21"/>
                      </w:rPr>
                      <m:t>∆</m:t>
                    </m:r>
                    <m:ctrlPr>
                      <w:rPr>
                        <w:rFonts w:ascii="Cambria Math" w:hAnsi="Cambria Math"/>
                        <w:i/>
                        <w:szCs w:val="21"/>
                      </w:rPr>
                    </m:ctrlPr>
                  </m:e>
                  <m:sub>
                    <m:r>
                      <m:rPr/>
                      <w:rPr>
                        <w:rFonts w:hint="eastAsia" w:ascii="Cambria Math" w:hAnsi="Cambria Math"/>
                        <w:szCs w:val="21"/>
                      </w:rPr>
                      <m:t>i</m:t>
                    </m:r>
                    <m:ctrlPr>
                      <w:rPr>
                        <w:rFonts w:ascii="Cambria Math" w:hAnsi="Cambria Math"/>
                        <w:i/>
                        <w:szCs w:val="21"/>
                      </w:rPr>
                    </m:ctrlPr>
                  </m:sub>
                </m:sSub>
                <m:ctrlPr>
                  <w:rPr>
                    <w:rFonts w:ascii="Cambria Math" w:hAnsi="Cambria Math"/>
                    <w:i/>
                    <w:szCs w:val="21"/>
                  </w:rPr>
                </m:ctrlPr>
              </m:e>
            </m:nary>
            <m:ctrlPr>
              <w:rPr>
                <w:rFonts w:ascii="Cambria Math" w:hAnsi="Cambria Math"/>
                <w:i/>
                <w:szCs w:val="21"/>
              </w:rPr>
            </m:ctrlPr>
          </m:e>
        </m:d>
      </m:oMath>
      <w:r>
        <w:rPr>
          <w:rFonts w:hAnsi="TimesNewRomanPSMT"/>
          <w:szCs w:val="21"/>
        </w:rPr>
        <w:t>……………………………</w:t>
      </w:r>
      <w:r>
        <w:rPr>
          <w:rFonts w:hint="eastAsia" w:hAnsi="TimesNewRomanPSMT"/>
          <w:szCs w:val="21"/>
        </w:rPr>
        <w:t>.（5）</w:t>
      </w:r>
    </w:p>
    <w:p w14:paraId="2F3E03CE">
      <w:pPr>
        <w:pStyle w:val="7"/>
        <w:ind w:left="440"/>
        <w:rPr>
          <w:rFonts w:hAnsi="TimesNewRomanPSMT"/>
          <w:szCs w:val="21"/>
        </w:rPr>
      </w:pPr>
    </w:p>
    <w:p w14:paraId="7924B4D9">
      <w:pPr>
        <w:pStyle w:val="41"/>
        <w:tabs>
          <w:tab w:val="left" w:pos="1140"/>
        </w:tabs>
        <w:ind w:left="726" w:firstLine="0" w:firstLineChars="0"/>
        <w:rPr>
          <w:szCs w:val="21"/>
        </w:rPr>
      </w:pPr>
      <w:r>
        <w:rPr>
          <w:rFonts w:hint="eastAsia"/>
          <w:szCs w:val="21"/>
        </w:rPr>
        <w:t>式中：</w:t>
      </w:r>
    </w:p>
    <w:p w14:paraId="103ADFD2">
      <w:pPr>
        <w:pStyle w:val="41"/>
        <w:tabs>
          <w:tab w:val="clear" w:pos="4201"/>
          <w:tab w:val="clear" w:pos="9298"/>
        </w:tabs>
        <w:ind w:left="726" w:firstLine="0" w:firstLineChars="0"/>
        <w:rPr>
          <w:szCs w:val="21"/>
        </w:rPr>
      </w:pPr>
      <w:r>
        <w:rPr>
          <w:rFonts w:hint="eastAsia" w:ascii="SymbolMT" w:eastAsia="SymbolMT" w:cs="SymbolMT"/>
        </w:rPr>
        <w:t>Δ</w:t>
      </w:r>
      <w:r>
        <w:rPr>
          <w:rFonts w:hint="eastAsia" w:ascii="SymbolMT" w:cs="SymbolMT"/>
        </w:rPr>
        <w:tab/>
      </w:r>
      <w:r>
        <w:rPr>
          <w:rFonts w:hint="eastAsia" w:ascii="SymbolMT" w:cs="SymbolMT"/>
        </w:rPr>
        <w:tab/>
      </w:r>
      <w:r>
        <w:rPr>
          <w:rFonts w:ascii="TimesNewRomanPSMT" w:hAnsi="TimesNewRomanPSMT" w:eastAsia="SymbolMT" w:cs="TimesNewRomanPSMT"/>
          <w:sz w:val="22"/>
          <w:szCs w:val="22"/>
        </w:rPr>
        <w:t>——</w:t>
      </w:r>
      <w:r>
        <w:rPr>
          <w:rFonts w:hint="eastAsia"/>
          <w:szCs w:val="21"/>
        </w:rPr>
        <w:t>被测远程通信单元经延时修正后的定时偏差平均值，单位为纳秒（</w:t>
      </w:r>
      <w:r>
        <w:rPr>
          <w:rFonts w:ascii="TimesNewRomanPSMT" w:hAnsi="TimesNewRomanPSMT" w:eastAsia="SymbolMT" w:cs="TimesNewRomanPSMT"/>
          <w:szCs w:val="21"/>
        </w:rPr>
        <w:t>ns</w:t>
      </w:r>
      <w:r>
        <w:rPr>
          <w:rFonts w:hint="eastAsia"/>
          <w:szCs w:val="21"/>
        </w:rPr>
        <w:t>）；</w:t>
      </w:r>
    </w:p>
    <w:p w14:paraId="3DA93FD9">
      <w:pPr>
        <w:pStyle w:val="41"/>
        <w:tabs>
          <w:tab w:val="clear" w:pos="4201"/>
          <w:tab w:val="clear" w:pos="9298"/>
        </w:tabs>
        <w:ind w:left="726" w:firstLine="0" w:firstLineChars="0"/>
        <w:rPr>
          <w:szCs w:val="21"/>
        </w:rPr>
      </w:pPr>
      <m:oMath>
        <m:acc>
          <m:accPr>
            <m:chr m:val="̅"/>
            <m:ctrlPr>
              <w:rPr>
                <w:rFonts w:ascii="Cambria Math" w:hAnsi="Cambria Math" w:eastAsia="SymbolMT" w:cs="TimesNewRomanPSMT"/>
                <w:sz w:val="22"/>
                <w:szCs w:val="22"/>
              </w:rPr>
            </m:ctrlPr>
          </m:accPr>
          <m:e>
            <m:r>
              <m:rPr/>
              <w:rPr>
                <w:rFonts w:ascii="Cambria Math" w:hAnsi="Cambria Math" w:eastAsia="SymbolMT" w:cs="TimesNewRomanPSMT"/>
                <w:sz w:val="22"/>
                <w:szCs w:val="22"/>
              </w:rPr>
              <m:t>∆</m:t>
            </m:r>
            <m:ctrlPr>
              <w:rPr>
                <w:rFonts w:ascii="Cambria Math" w:hAnsi="Cambria Math" w:eastAsia="SymbolMT" w:cs="TimesNewRomanPSMT"/>
                <w:sz w:val="22"/>
                <w:szCs w:val="22"/>
              </w:rPr>
            </m:ctrlPr>
          </m:e>
        </m:acc>
      </m:oMath>
      <w:r>
        <w:rPr>
          <w:rFonts w:hint="eastAsia" w:hAnsi="Cambria Math" w:cs="TimesNewRomanPSMT"/>
          <w:sz w:val="22"/>
          <w:szCs w:val="22"/>
        </w:rPr>
        <w:tab/>
      </w:r>
      <w:r>
        <w:rPr>
          <w:rFonts w:hint="eastAsia" w:hAnsi="Cambria Math" w:cs="TimesNewRomanPSMT"/>
          <w:sz w:val="22"/>
          <w:szCs w:val="22"/>
        </w:rPr>
        <w:tab/>
      </w:r>
      <w:r>
        <w:rPr>
          <w:rFonts w:ascii="TimesNewRomanPSMT" w:hAnsi="TimesNewRomanPSMT" w:eastAsia="SymbolMT" w:cs="TimesNewRomanPSMT"/>
          <w:sz w:val="22"/>
          <w:szCs w:val="22"/>
        </w:rPr>
        <w:t>——</w:t>
      </w:r>
      <w:r>
        <w:rPr>
          <w:rFonts w:hint="eastAsia"/>
          <w:szCs w:val="21"/>
        </w:rPr>
        <w:t>被测远程通信单元未经延时修正的定时偏差平均值，单位为纳秒（</w:t>
      </w:r>
      <w:r>
        <w:rPr>
          <w:rFonts w:ascii="TimesNewRomanPSMT" w:hAnsi="TimesNewRomanPSMT" w:eastAsia="SymbolMT" w:cs="TimesNewRomanPSMT"/>
          <w:szCs w:val="21"/>
        </w:rPr>
        <w:t>ns</w:t>
      </w:r>
      <w:r>
        <w:rPr>
          <w:rFonts w:hint="eastAsia"/>
          <w:szCs w:val="21"/>
        </w:rPr>
        <w:t>）；</w:t>
      </w:r>
    </w:p>
    <w:p w14:paraId="21034964">
      <w:pPr>
        <w:widowControl w:val="0"/>
        <w:autoSpaceDE w:val="0"/>
        <w:autoSpaceDN w:val="0"/>
        <w:adjustRightInd w:val="0"/>
        <w:ind w:left="306" w:firstLine="420"/>
        <w:rPr>
          <w:rFonts w:hAnsi="Times New Roman"/>
          <w:sz w:val="21"/>
          <w:szCs w:val="21"/>
        </w:rPr>
      </w:pPr>
      <w:r>
        <w:rPr>
          <w:rFonts w:ascii="Times New Roman" w:hAnsi="Times New Roman" w:eastAsia="SymbolMT" w:cs="Times New Roman"/>
          <w:sz w:val="22"/>
          <w:szCs w:val="22"/>
        </w:rPr>
        <w:t>τ1</w:t>
      </w:r>
      <w:r>
        <w:rPr>
          <w:rFonts w:hint="eastAsia" w:ascii="Times New Roman" w:hAnsi="Times New Roman" w:cs="Times New Roman"/>
          <w:sz w:val="22"/>
          <w:szCs w:val="22"/>
        </w:rPr>
        <w:tab/>
      </w:r>
      <w:r>
        <w:rPr>
          <w:rFonts w:ascii="TimesNewRomanPSMT" w:hAnsi="TimesNewRomanPSMT" w:eastAsia="SymbolMT" w:cs="TimesNewRomanPSMT"/>
          <w:sz w:val="22"/>
          <w:szCs w:val="22"/>
        </w:rPr>
        <w:t>——</w:t>
      </w:r>
      <w:r>
        <w:rPr>
          <w:rFonts w:hint="eastAsia" w:hAnsi="Times New Roman"/>
          <w:sz w:val="21"/>
          <w:szCs w:val="21"/>
        </w:rPr>
        <w:t>天线电缆时延，单位为纳秒（</w:t>
      </w:r>
      <w:r>
        <w:rPr>
          <w:rFonts w:ascii="TimesNewRomanPSMT" w:hAnsi="TimesNewRomanPSMT" w:eastAsia="SymbolMT" w:cs="TimesNewRomanPSMT"/>
          <w:sz w:val="21"/>
          <w:szCs w:val="21"/>
        </w:rPr>
        <w:t>ns</w:t>
      </w:r>
      <w:r>
        <w:rPr>
          <w:rFonts w:hint="eastAsia" w:hAnsi="Times New Roman"/>
          <w:sz w:val="21"/>
          <w:szCs w:val="21"/>
        </w:rPr>
        <w:t>）；</w:t>
      </w:r>
    </w:p>
    <w:p w14:paraId="162347D7">
      <w:pPr>
        <w:pStyle w:val="41"/>
        <w:tabs>
          <w:tab w:val="clear" w:pos="4201"/>
          <w:tab w:val="clear" w:pos="9298"/>
        </w:tabs>
        <w:ind w:firstLine="735" w:firstLineChars="350"/>
        <w:rPr>
          <w:szCs w:val="21"/>
        </w:rPr>
      </w:pPr>
      <w:r>
        <w:rPr>
          <w:rFonts w:ascii="Times New Roman" w:eastAsia="SymbolMT"/>
        </w:rPr>
        <w:t>τ</w:t>
      </w:r>
      <w:r>
        <w:rPr>
          <w:rFonts w:ascii="TimesNewRomanPSMT" w:hAnsi="TimesNewRomanPSMT" w:eastAsia="SymbolMT" w:cs="TimesNewRomanPSMT"/>
        </w:rPr>
        <w:t>2</w:t>
      </w:r>
      <w:r>
        <w:rPr>
          <w:rFonts w:hint="eastAsia" w:ascii="TimesNewRomanPSMT" w:hAnsi="TimesNewRomanPSMT" w:cs="TimesNewRomanPSMT"/>
        </w:rPr>
        <w:tab/>
      </w:r>
      <w:r>
        <w:rPr>
          <w:rFonts w:ascii="TimesNewRomanPSMT" w:hAnsi="TimesNewRomanPSMT" w:eastAsia="SymbolMT" w:cs="TimesNewRomanPSMT"/>
          <w:sz w:val="22"/>
          <w:szCs w:val="22"/>
        </w:rPr>
        <w:t>——</w:t>
      </w:r>
      <w:r>
        <w:rPr>
          <w:rFonts w:hint="eastAsia"/>
          <w:szCs w:val="21"/>
        </w:rPr>
        <w:t>被测远程通信单元</w:t>
      </w:r>
      <w:r>
        <w:rPr>
          <w:rFonts w:ascii="TimesNewRomanPSMT" w:hAnsi="TimesNewRomanPSMT" w:eastAsia="SymbolMT" w:cs="TimesNewRomanPSMT"/>
          <w:szCs w:val="21"/>
        </w:rPr>
        <w:t>1pps</w:t>
      </w:r>
      <w:r>
        <w:rPr>
          <w:rFonts w:hint="eastAsia"/>
          <w:szCs w:val="21"/>
        </w:rPr>
        <w:t>输出电缆时延，单位为纳秒（</w:t>
      </w:r>
      <w:r>
        <w:rPr>
          <w:rFonts w:ascii="TimesNewRomanPSMT" w:hAnsi="TimesNewRomanPSMT" w:eastAsia="SymbolMT" w:cs="TimesNewRomanPSMT"/>
          <w:szCs w:val="21"/>
        </w:rPr>
        <w:t>ns</w:t>
      </w:r>
      <w:r>
        <w:rPr>
          <w:rFonts w:hint="eastAsia"/>
          <w:szCs w:val="21"/>
        </w:rPr>
        <w:t>）；</w:t>
      </w:r>
    </w:p>
    <w:p w14:paraId="6287B3A8">
      <w:pPr>
        <w:pStyle w:val="41"/>
        <w:tabs>
          <w:tab w:val="clear" w:pos="4201"/>
          <w:tab w:val="clear" w:pos="9298"/>
        </w:tabs>
        <w:ind w:left="726" w:firstLine="0" w:firstLineChars="0"/>
        <w:rPr>
          <w:szCs w:val="21"/>
        </w:rPr>
      </w:pPr>
      <w:r>
        <w:rPr>
          <w:rFonts w:ascii="Times New Roman" w:eastAsia="SymbolMT"/>
        </w:rPr>
        <w:t>τ</w:t>
      </w:r>
      <w:r>
        <w:rPr>
          <w:rFonts w:ascii="TimesNewRomanPSMT" w:hAnsi="TimesNewRomanPSMT" w:eastAsia="SymbolMT" w:cs="TimesNewRomanPSMT"/>
        </w:rPr>
        <w:t>3</w:t>
      </w:r>
      <w:r>
        <w:rPr>
          <w:rFonts w:hint="eastAsia" w:ascii="TimesNewRomanPSMT" w:hAnsi="TimesNewRomanPSMT" w:cs="TimesNewRomanPSMT"/>
        </w:rPr>
        <w:tab/>
      </w:r>
      <w:r>
        <w:rPr>
          <w:rFonts w:ascii="TimesNewRomanPSMT" w:hAnsi="TimesNewRomanPSMT" w:eastAsia="SymbolMT" w:cs="TimesNewRomanPSMT"/>
          <w:sz w:val="22"/>
          <w:szCs w:val="22"/>
        </w:rPr>
        <w:t>——</w:t>
      </w:r>
      <w:r>
        <w:rPr>
          <w:rFonts w:hint="eastAsia"/>
          <w:szCs w:val="21"/>
        </w:rPr>
        <w:t>标准时间频率源</w:t>
      </w:r>
      <w:r>
        <w:rPr>
          <w:rFonts w:ascii="TimesNewRomanPSMT" w:hAnsi="TimesNewRomanPSMT" w:cs="TimesNewRomanPSMT"/>
          <w:szCs w:val="21"/>
        </w:rPr>
        <w:t xml:space="preserve">1pps </w:t>
      </w:r>
      <w:r>
        <w:rPr>
          <w:rFonts w:hint="eastAsia"/>
          <w:szCs w:val="21"/>
        </w:rPr>
        <w:t>电缆时延，单位为纳秒（</w:t>
      </w:r>
      <w:r>
        <w:rPr>
          <w:rFonts w:ascii="TimesNewRomanPSMT" w:hAnsi="TimesNewRomanPSMT" w:cs="TimesNewRomanPSMT"/>
          <w:szCs w:val="21"/>
        </w:rPr>
        <w:t>ns</w:t>
      </w:r>
      <w:r>
        <w:rPr>
          <w:rFonts w:hint="eastAsia"/>
          <w:szCs w:val="21"/>
        </w:rPr>
        <w:t>）；</w:t>
      </w:r>
    </w:p>
    <w:p w14:paraId="0B0428D9">
      <w:pPr>
        <w:pStyle w:val="41"/>
        <w:tabs>
          <w:tab w:val="left" w:pos="1140"/>
        </w:tabs>
        <w:ind w:left="726" w:firstLine="0" w:firstLineChars="0"/>
        <w:rPr>
          <w:szCs w:val="21"/>
        </w:rPr>
      </w:pPr>
      <m:oMath>
        <m:sSub>
          <m:sSubPr>
            <m:ctrlPr>
              <w:rPr>
                <w:rFonts w:ascii="Cambria Math" w:hAnsi="Cambria Math" w:eastAsiaTheme="minorEastAsia"/>
                <w:szCs w:val="21"/>
              </w:rPr>
            </m:ctrlPr>
          </m:sSubPr>
          <m:e>
            <m:r>
              <m:rPr/>
              <w:rPr>
                <w:rFonts w:ascii="Cambria Math" w:hAnsi="Cambria Math" w:eastAsiaTheme="minorEastAsia"/>
                <w:szCs w:val="21"/>
              </w:rPr>
              <m:t>∆</m:t>
            </m:r>
            <m:ctrlPr>
              <w:rPr>
                <w:rFonts w:ascii="Cambria Math" w:hAnsi="Cambria Math" w:eastAsiaTheme="minorEastAsia"/>
                <w:szCs w:val="21"/>
              </w:rPr>
            </m:ctrlPr>
          </m:e>
          <m:sub>
            <m:r>
              <m:rPr/>
              <w:rPr>
                <w:rFonts w:ascii="Cambria Math" w:hAnsi="Cambria Math" w:eastAsiaTheme="minorEastAsia"/>
                <w:szCs w:val="21"/>
              </w:rPr>
              <m:t>ts</m:t>
            </m:r>
            <m:ctrlPr>
              <w:rPr>
                <w:rFonts w:ascii="Cambria Math" w:hAnsi="Cambria Math" w:eastAsiaTheme="minorEastAsia"/>
                <w:szCs w:val="21"/>
              </w:rPr>
            </m:ctrlPr>
          </m:sub>
        </m:sSub>
      </m:oMath>
      <w:r>
        <w:rPr>
          <w:rFonts w:ascii="TimesNewRomanPSMT" w:hAnsi="TimesNewRomanPSMT" w:eastAsia="SymbolMT" w:cs="TimesNewRomanPSMT"/>
          <w:sz w:val="22"/>
          <w:szCs w:val="22"/>
        </w:rPr>
        <w:t>——</w:t>
      </w:r>
      <w:r>
        <w:rPr>
          <w:rFonts w:hint="eastAsia"/>
          <w:szCs w:val="21"/>
        </w:rPr>
        <w:t>标准时间频率源时间与</w:t>
      </w:r>
      <w:r>
        <w:rPr>
          <w:rFonts w:ascii="TimesNewRomanPSMT" w:hAnsi="TimesNewRomanPSMT" w:cs="TimesNewRomanPSMT"/>
          <w:szCs w:val="21"/>
        </w:rPr>
        <w:t xml:space="preserve">UTC </w:t>
      </w:r>
      <w:r>
        <w:rPr>
          <w:rFonts w:hint="eastAsia"/>
          <w:szCs w:val="21"/>
        </w:rPr>
        <w:t>时间的偏差，单位为纳秒（</w:t>
      </w:r>
      <w:r>
        <w:rPr>
          <w:rFonts w:ascii="TimesNewRomanPSMT" w:hAnsi="TimesNewRomanPSMT" w:cs="TimesNewRomanPSMT"/>
          <w:szCs w:val="21"/>
        </w:rPr>
        <w:t>ns</w:t>
      </w:r>
      <w:r>
        <w:rPr>
          <w:rFonts w:hint="eastAsia"/>
          <w:szCs w:val="21"/>
        </w:rPr>
        <w:t>）；</w:t>
      </w:r>
    </w:p>
    <w:p w14:paraId="399FC721">
      <w:pPr>
        <w:pStyle w:val="41"/>
        <w:tabs>
          <w:tab w:val="clear" w:pos="4201"/>
          <w:tab w:val="clear" w:pos="9298"/>
        </w:tabs>
        <w:ind w:left="726" w:firstLine="0" w:firstLineChars="0"/>
        <w:rPr>
          <w:rFonts w:hAnsi="TimesNewRomanPS-ItalicMT"/>
          <w:szCs w:val="21"/>
        </w:rPr>
      </w:pPr>
      <w:r>
        <w:rPr>
          <w:rFonts w:hint="eastAsia" w:ascii="TimesNewRomanPS-ItalicMT" w:hAnsi="TimesNewRomanPS-ItalicMT" w:cs="TimesNewRomanPS-ItalicMT"/>
          <w:i/>
          <w:iCs/>
        </w:rPr>
        <w:t>m</w:t>
      </w:r>
      <w:r>
        <w:rPr>
          <w:rFonts w:hint="eastAsia" w:ascii="TimesNewRomanPS-ItalicMT" w:hAnsi="TimesNewRomanPS-ItalicMT" w:cs="TimesNewRomanPS-ItalicMT"/>
          <w:i/>
          <w:iCs/>
        </w:rPr>
        <w:tab/>
      </w:r>
      <w:r>
        <w:rPr>
          <w:rFonts w:hint="eastAsia" w:ascii="TimesNewRomanPS-ItalicMT" w:hAnsi="TimesNewRomanPS-ItalicMT" w:cs="TimesNewRomanPS-ItalicMT"/>
          <w:i/>
          <w:iCs/>
        </w:rPr>
        <w:tab/>
      </w:r>
      <w:r>
        <w:rPr>
          <w:rFonts w:ascii="TimesNewRomanPSMT" w:hAnsi="TimesNewRomanPSMT" w:eastAsia="SymbolMT" w:cs="TimesNewRomanPSMT"/>
          <w:sz w:val="22"/>
          <w:szCs w:val="22"/>
        </w:rPr>
        <w:t>——</w:t>
      </w:r>
      <w:r>
        <w:rPr>
          <w:rFonts w:hint="eastAsia" w:hAnsi="TimesNewRomanPS-ItalicMT"/>
          <w:szCs w:val="21"/>
        </w:rPr>
        <w:t>观测次数；</w:t>
      </w:r>
    </w:p>
    <w:p w14:paraId="41A6FC9A">
      <w:pPr>
        <w:pStyle w:val="41"/>
        <w:tabs>
          <w:tab w:val="clear" w:pos="4201"/>
          <w:tab w:val="clear" w:pos="9298"/>
        </w:tabs>
        <w:ind w:left="726" w:firstLine="0" w:firstLineChars="0"/>
        <w:rPr>
          <w:szCs w:val="21"/>
        </w:rPr>
      </w:pPr>
      <m:oMath>
        <m:sSub>
          <m:sSubPr>
            <m:ctrlPr>
              <w:rPr>
                <w:rFonts w:ascii="Cambria Math" w:hAnsi="Cambria Math" w:eastAsia="SymbolMT" w:cs="TimesNewRomanPSMT"/>
                <w:sz w:val="22"/>
                <w:szCs w:val="22"/>
              </w:rPr>
            </m:ctrlPr>
          </m:sSubPr>
          <m:e>
            <m:r>
              <m:rPr/>
              <w:rPr>
                <w:rFonts w:ascii="Cambria Math" w:hAnsi="Cambria Math" w:eastAsia="SymbolMT" w:cs="TimesNewRomanPSMT"/>
                <w:sz w:val="22"/>
                <w:szCs w:val="22"/>
              </w:rPr>
              <m:t>∆</m:t>
            </m:r>
            <m:ctrlPr>
              <w:rPr>
                <w:rFonts w:ascii="Cambria Math" w:hAnsi="Cambria Math" w:eastAsia="SymbolMT" w:cs="TimesNewRomanPSMT"/>
                <w:sz w:val="22"/>
                <w:szCs w:val="22"/>
              </w:rPr>
            </m:ctrlPr>
          </m:e>
          <m:sub>
            <m:r>
              <m:rPr/>
              <w:rPr>
                <w:rFonts w:ascii="Cambria Math" w:hAnsi="Cambria Math" w:eastAsia="SymbolMT" w:cs="TimesNewRomanPSMT"/>
                <w:sz w:val="22"/>
                <w:szCs w:val="22"/>
              </w:rPr>
              <m:t>i</m:t>
            </m:r>
            <m:ctrlPr>
              <w:rPr>
                <w:rFonts w:ascii="Cambria Math" w:hAnsi="Cambria Math" w:eastAsia="SymbolMT" w:cs="TimesNewRomanPSMT"/>
                <w:sz w:val="22"/>
                <w:szCs w:val="22"/>
              </w:rPr>
            </m:ctrlPr>
          </m:sub>
        </m:sSub>
      </m:oMath>
      <w:r>
        <w:rPr>
          <w:rFonts w:hint="eastAsia" w:hAnsi="Cambria Math" w:cs="TimesNewRomanPSMT"/>
          <w:sz w:val="22"/>
          <w:szCs w:val="22"/>
        </w:rPr>
        <w:tab/>
      </w:r>
      <w:r>
        <w:rPr>
          <w:rFonts w:ascii="TimesNewRomanPSMT" w:hAnsi="TimesNewRomanPSMT" w:eastAsia="SymbolMT" w:cs="TimesNewRomanPSMT"/>
          <w:sz w:val="22"/>
          <w:szCs w:val="22"/>
        </w:rPr>
        <w:t>——</w:t>
      </w:r>
      <w:r>
        <w:rPr>
          <w:rFonts w:hint="eastAsia"/>
          <w:szCs w:val="21"/>
        </w:rPr>
        <w:t>被测远程通信单元与标准时间频率源时刻</w:t>
      </w:r>
      <w:r>
        <w:rPr>
          <w:rFonts w:ascii="TimesNewRomanPS-ItalicMT" w:hAnsi="TimesNewRomanPS-ItalicMT" w:eastAsia="SymbolMT" w:cs="TimesNewRomanPS-ItalicMT"/>
          <w:i/>
          <w:iCs/>
          <w:szCs w:val="21"/>
        </w:rPr>
        <w:t>i</w:t>
      </w:r>
      <w:r>
        <w:rPr>
          <w:rFonts w:hint="eastAsia"/>
          <w:szCs w:val="21"/>
        </w:rPr>
        <w:t>的相对偏差，单位为纳秒（</w:t>
      </w:r>
      <w:r>
        <w:rPr>
          <w:rFonts w:ascii="TimesNewRomanPSMT" w:hAnsi="TimesNewRomanPSMT" w:eastAsia="SymbolMT" w:cs="TimesNewRomanPSMT"/>
          <w:szCs w:val="21"/>
        </w:rPr>
        <w:t>ns</w:t>
      </w:r>
      <w:r>
        <w:rPr>
          <w:rFonts w:hint="eastAsia"/>
          <w:szCs w:val="21"/>
        </w:rPr>
        <w:t>）。</w:t>
      </w:r>
    </w:p>
    <w:p w14:paraId="3E3581F4">
      <w:pPr>
        <w:pStyle w:val="41"/>
        <w:numPr>
          <w:ilvl w:val="0"/>
          <w:numId w:val="17"/>
        </w:numPr>
        <w:rPr>
          <w:rFonts w:hAnsi="TimesNewRomanPSMT"/>
          <w:szCs w:val="21"/>
        </w:rPr>
      </w:pPr>
      <w:r>
        <w:rPr>
          <w:rFonts w:hint="eastAsia" w:hAnsi="TimesNewRomanPSMT"/>
          <w:szCs w:val="21"/>
        </w:rPr>
        <w:t>按公式6计算标准偏差：</w:t>
      </w:r>
    </w:p>
    <w:p w14:paraId="25C73799">
      <w:pPr>
        <w:pStyle w:val="41"/>
        <w:tabs>
          <w:tab w:val="left" w:pos="1140"/>
        </w:tabs>
        <w:ind w:left="726" w:firstLine="0" w:firstLineChars="0"/>
        <w:jc w:val="right"/>
        <w:rPr>
          <w:rFonts w:hAnsi="TimesNewRomanPSMT"/>
          <w:szCs w:val="21"/>
        </w:rPr>
      </w:pPr>
      <m:oMath>
        <m:sSub>
          <m:sSubPr>
            <m:ctrlPr>
              <w:rPr>
                <w:rFonts w:ascii="Cambria Math" w:hAnsi="Cambria Math"/>
                <w:szCs w:val="21"/>
              </w:rPr>
            </m:ctrlPr>
          </m:sSubPr>
          <m:e>
            <m:r>
              <m:rPr/>
              <w:rPr>
                <w:rFonts w:ascii="Cambria Math" w:hAnsi="Cambria Math"/>
                <w:szCs w:val="21"/>
              </w:rPr>
              <m:t>S</m:t>
            </m:r>
            <m:ctrlPr>
              <w:rPr>
                <w:rFonts w:ascii="Cambria Math" w:hAnsi="Cambria Math"/>
                <w:szCs w:val="21"/>
              </w:rPr>
            </m:ctrlPr>
          </m:e>
          <m:sub>
            <m:r>
              <m:rPr/>
              <w:rPr>
                <w:rFonts w:ascii="Cambria Math" w:hAnsi="Cambria Math"/>
                <w:szCs w:val="21"/>
              </w:rPr>
              <m:t>∆</m:t>
            </m:r>
            <m:ctrlPr>
              <w:rPr>
                <w:rFonts w:ascii="Cambria Math" w:hAnsi="Cambria Math"/>
                <w:szCs w:val="21"/>
              </w:rPr>
            </m:ctrlPr>
          </m:sub>
        </m:sSub>
        <m:r>
          <m:rPr/>
          <w:rPr>
            <w:rFonts w:ascii="Cambria Math" w:hAnsi="Cambria Math"/>
            <w:szCs w:val="21"/>
          </w:rPr>
          <m:t>=</m:t>
        </m:r>
        <m:rad>
          <m:radPr>
            <m:degHide m:val="1"/>
            <m:ctrlPr>
              <w:rPr>
                <w:rFonts w:ascii="Cambria Math" w:hAnsi="Cambria Math"/>
                <w:i/>
                <w:szCs w:val="21"/>
              </w:rPr>
            </m:ctrlPr>
          </m:radPr>
          <m:deg>
            <m:ctrlPr>
              <w:rPr>
                <w:rFonts w:ascii="Cambria Math" w:hAnsi="Cambria Math"/>
                <w:i/>
                <w:szCs w:val="21"/>
              </w:rPr>
            </m:ctrlPr>
          </m:deg>
          <m:e>
            <m:f>
              <m:fPr>
                <m:ctrlPr>
                  <w:rPr>
                    <w:rFonts w:ascii="Cambria Math" w:hAnsi="Cambria Math"/>
                    <w:i/>
                    <w:szCs w:val="21"/>
                  </w:rPr>
                </m:ctrlPr>
              </m:fPr>
              <m:num>
                <m:r>
                  <m:rPr/>
                  <w:rPr>
                    <w:rFonts w:ascii="Cambria Math" w:hAnsi="Cambria Math"/>
                    <w:szCs w:val="21"/>
                  </w:rPr>
                  <m:t>1</m:t>
                </m:r>
                <m:ctrlPr>
                  <w:rPr>
                    <w:rFonts w:ascii="Cambria Math" w:hAnsi="Cambria Math"/>
                    <w:i/>
                    <w:szCs w:val="21"/>
                  </w:rPr>
                </m:ctrlPr>
              </m:num>
              <m:den>
                <m:r>
                  <m:rPr/>
                  <w:rPr>
                    <w:rFonts w:ascii="Cambria Math" w:hAnsi="Cambria Math"/>
                    <w:szCs w:val="21"/>
                  </w:rPr>
                  <m:t>m−1</m:t>
                </m:r>
                <m:ctrlPr>
                  <w:rPr>
                    <w:rFonts w:ascii="Cambria Math" w:hAnsi="Cambria Math"/>
                    <w:i/>
                    <w:szCs w:val="21"/>
                  </w:rPr>
                </m:ctrlPr>
              </m:den>
            </m:f>
            <m:nary>
              <m:naryPr>
                <m:chr m:val="∑"/>
                <m:limLoc m:val="undOvr"/>
                <m:ctrlPr>
                  <w:rPr>
                    <w:rFonts w:ascii="Cambria Math" w:hAnsi="Cambria Math"/>
                    <w:i/>
                    <w:szCs w:val="21"/>
                  </w:rPr>
                </m:ctrlPr>
              </m:naryPr>
              <m:sub>
                <m:r>
                  <m:rPr/>
                  <w:rPr>
                    <w:rFonts w:ascii="Cambria Math" w:hAnsi="Cambria Math"/>
                    <w:szCs w:val="21"/>
                  </w:rPr>
                  <m:t>i=1</m:t>
                </m:r>
                <m:ctrlPr>
                  <w:rPr>
                    <w:rFonts w:ascii="Cambria Math" w:hAnsi="Cambria Math"/>
                    <w:i/>
                    <w:szCs w:val="21"/>
                  </w:rPr>
                </m:ctrlPr>
              </m:sub>
              <m:sup>
                <m:r>
                  <m:rPr/>
                  <w:rPr>
                    <w:rFonts w:ascii="Cambria Math" w:hAnsi="Cambria Math"/>
                    <w:szCs w:val="21"/>
                  </w:rPr>
                  <m:t>m</m:t>
                </m:r>
                <m:ctrlPr>
                  <w:rPr>
                    <w:rFonts w:ascii="Cambria Math" w:hAnsi="Cambria Math"/>
                    <w:i/>
                    <w:szCs w:val="21"/>
                  </w:rPr>
                </m:ctrlPr>
              </m:sup>
              <m:e>
                <m:sSup>
                  <m:sSupPr>
                    <m:ctrlPr>
                      <w:rPr>
                        <w:rFonts w:ascii="Cambria Math" w:hAnsi="Cambria Math"/>
                        <w:i/>
                        <w:szCs w:val="21"/>
                      </w:rPr>
                    </m:ctrlPr>
                  </m:sSupPr>
                  <m:e>
                    <m:d>
                      <m:dPr>
                        <m:ctrlPr>
                          <w:rPr>
                            <w:rFonts w:ascii="Cambria Math" w:hAnsi="Cambria Math"/>
                            <w:i/>
                            <w:szCs w:val="21"/>
                          </w:rPr>
                        </m:ctrlPr>
                      </m:dPr>
                      <m:e>
                        <m:sSub>
                          <m:sSubPr>
                            <m:ctrlPr>
                              <w:rPr>
                                <w:rFonts w:ascii="Cambria Math" w:hAnsi="Cambria Math"/>
                                <w:i/>
                                <w:szCs w:val="21"/>
                              </w:rPr>
                            </m:ctrlPr>
                          </m:sSubPr>
                          <m:e>
                            <m:r>
                              <m:rPr/>
                              <w:rPr>
                                <w:rFonts w:ascii="Cambria Math" w:hAnsi="Cambria Math"/>
                                <w:szCs w:val="21"/>
                              </w:rPr>
                              <m:t>∆</m:t>
                            </m:r>
                            <m:ctrlPr>
                              <w:rPr>
                                <w:rFonts w:ascii="Cambria Math" w:hAnsi="Cambria Math"/>
                                <w:i/>
                                <w:szCs w:val="21"/>
                              </w:rPr>
                            </m:ctrlPr>
                          </m:e>
                          <m:sub>
                            <m:r>
                              <m:rPr/>
                              <w:rPr>
                                <w:rFonts w:ascii="Cambria Math" w:hAnsi="Cambria Math"/>
                                <w:szCs w:val="21"/>
                              </w:rPr>
                              <m:t>i</m:t>
                            </m:r>
                            <m:ctrlPr>
                              <w:rPr>
                                <w:rFonts w:ascii="Cambria Math" w:hAnsi="Cambria Math"/>
                                <w:i/>
                                <w:szCs w:val="21"/>
                              </w:rPr>
                            </m:ctrlPr>
                          </m:sub>
                        </m:sSub>
                        <m:r>
                          <m:rPr/>
                          <w:rPr>
                            <w:rFonts w:ascii="Cambria Math" w:hAnsi="Cambria Math"/>
                            <w:szCs w:val="21"/>
                          </w:rPr>
                          <m:t>−</m:t>
                        </m:r>
                        <m:d>
                          <m:dPr>
                            <m:begChr m:val="|"/>
                            <m:endChr m:val=""/>
                            <m:ctrlPr>
                              <w:rPr>
                                <w:rFonts w:ascii="Cambria Math" w:hAnsi="Cambria Math"/>
                                <w:i/>
                                <w:szCs w:val="21"/>
                              </w:rPr>
                            </m:ctrlPr>
                          </m:dPr>
                          <m:e>
                            <m:acc>
                              <m:accPr>
                                <m:chr m:val="̅"/>
                                <m:ctrlPr>
                                  <w:rPr>
                                    <w:rFonts w:ascii="Cambria Math" w:hAnsi="Cambria Math"/>
                                    <w:i/>
                                    <w:szCs w:val="21"/>
                                  </w:rPr>
                                </m:ctrlPr>
                              </m:accPr>
                              <m:e>
                                <m:r>
                                  <m:rPr/>
                                  <w:rPr>
                                    <w:rFonts w:ascii="Cambria Math" w:hAnsi="Cambria Math"/>
                                    <w:szCs w:val="21"/>
                                  </w:rPr>
                                  <m:t>∆</m:t>
                                </m:r>
                                <m:ctrlPr>
                                  <w:rPr>
                                    <w:rFonts w:ascii="Cambria Math" w:hAnsi="Cambria Math"/>
                                    <w:i/>
                                    <w:szCs w:val="21"/>
                                  </w:rPr>
                                </m:ctrlPr>
                              </m:e>
                            </m:acc>
                            <m:ctrlPr>
                              <w:rPr>
                                <w:rFonts w:ascii="Cambria Math" w:hAnsi="Cambria Math"/>
                                <w:i/>
                                <w:szCs w:val="21"/>
                              </w:rPr>
                            </m:ctrlPr>
                          </m:e>
                        </m:d>
                        <m:ctrlPr>
                          <w:rPr>
                            <w:rFonts w:ascii="Cambria Math" w:hAnsi="Cambria Math"/>
                            <w:i/>
                            <w:szCs w:val="21"/>
                          </w:rPr>
                        </m:ctrlPr>
                      </m:e>
                    </m:d>
                    <m:ctrlPr>
                      <w:rPr>
                        <w:rFonts w:ascii="Cambria Math" w:hAnsi="Cambria Math"/>
                        <w:i/>
                        <w:szCs w:val="21"/>
                      </w:rPr>
                    </m:ctrlPr>
                  </m:e>
                  <m:sup>
                    <m:r>
                      <m:rPr/>
                      <w:rPr>
                        <w:rFonts w:ascii="Cambria Math" w:hAnsi="Cambria Math"/>
                        <w:szCs w:val="21"/>
                      </w:rPr>
                      <m:t>2</m:t>
                    </m:r>
                    <m:ctrlPr>
                      <w:rPr>
                        <w:rFonts w:ascii="Cambria Math" w:hAnsi="Cambria Math"/>
                        <w:i/>
                        <w:szCs w:val="21"/>
                      </w:rPr>
                    </m:ctrlPr>
                  </m:sup>
                </m:sSup>
                <m:ctrlPr>
                  <w:rPr>
                    <w:rFonts w:ascii="Cambria Math" w:hAnsi="Cambria Math"/>
                    <w:i/>
                    <w:szCs w:val="21"/>
                  </w:rPr>
                </m:ctrlPr>
              </m:e>
            </m:nary>
            <m:ctrlPr>
              <w:rPr>
                <w:rFonts w:ascii="Cambria Math" w:hAnsi="Cambria Math"/>
                <w:i/>
                <w:szCs w:val="21"/>
              </w:rPr>
            </m:ctrlPr>
          </m:e>
        </m:rad>
      </m:oMath>
      <w:r>
        <w:rPr>
          <w:rFonts w:hAnsi="TimesNewRomanPSMT"/>
          <w:szCs w:val="21"/>
        </w:rPr>
        <w:t>……………</w:t>
      </w:r>
      <w:r>
        <w:rPr>
          <w:rFonts w:hint="eastAsia" w:hAnsi="TimesNewRomanPSMT"/>
          <w:szCs w:val="21"/>
        </w:rPr>
        <w:t>.</w:t>
      </w:r>
      <w:r>
        <w:rPr>
          <w:rFonts w:hAnsi="TimesNewRomanPSMT"/>
          <w:szCs w:val="21"/>
        </w:rPr>
        <w:t>…………………</w:t>
      </w:r>
      <w:r>
        <w:rPr>
          <w:rFonts w:hint="eastAsia" w:hAnsi="TimesNewRomanPSMT"/>
          <w:szCs w:val="21"/>
        </w:rPr>
        <w:t>.（6）</w:t>
      </w:r>
    </w:p>
    <w:p w14:paraId="66ACA6C5">
      <w:pPr>
        <w:pStyle w:val="7"/>
        <w:jc w:val="center"/>
        <w:rPr>
          <w:rFonts w:hAnsi="TimesNewRomanPSMT"/>
          <w:szCs w:val="21"/>
        </w:rPr>
      </w:pPr>
    </w:p>
    <w:p w14:paraId="0886CAA2">
      <w:pPr>
        <w:pStyle w:val="41"/>
        <w:tabs>
          <w:tab w:val="left" w:pos="1140"/>
        </w:tabs>
        <w:ind w:left="726" w:firstLine="0" w:firstLineChars="0"/>
        <w:rPr>
          <w:rFonts w:hAnsi="TimesNewRomanPSMT"/>
          <w:szCs w:val="21"/>
        </w:rPr>
      </w:pPr>
      <w:r>
        <w:rPr>
          <w:rFonts w:hint="eastAsia" w:hAnsi="TimesNewRomanPSMT"/>
          <w:szCs w:val="21"/>
        </w:rPr>
        <w:t>式中：</w:t>
      </w:r>
    </w:p>
    <w:p w14:paraId="36184E04">
      <w:pPr>
        <w:pStyle w:val="41"/>
        <w:tabs>
          <w:tab w:val="left" w:pos="1140"/>
        </w:tabs>
        <w:ind w:left="726" w:firstLine="0" w:firstLineChars="0"/>
        <w:rPr>
          <w:rFonts w:hAnsi="TimesNewRomanPSMT"/>
          <w:szCs w:val="21"/>
        </w:rPr>
      </w:pPr>
      <m:oMath>
        <m:sSub>
          <m:sSubPr>
            <m:ctrlPr>
              <w:rPr>
                <w:rFonts w:ascii="Cambria Math" w:hAnsi="Cambria Math"/>
                <w:szCs w:val="21"/>
              </w:rPr>
            </m:ctrlPr>
          </m:sSubPr>
          <m:e>
            <m:r>
              <m:rPr/>
              <w:rPr>
                <w:rFonts w:ascii="Cambria Math" w:hAnsi="Cambria Math"/>
                <w:szCs w:val="21"/>
              </w:rPr>
              <m:t>S</m:t>
            </m:r>
            <m:ctrlPr>
              <w:rPr>
                <w:rFonts w:ascii="Cambria Math" w:hAnsi="Cambria Math"/>
                <w:szCs w:val="21"/>
              </w:rPr>
            </m:ctrlPr>
          </m:e>
          <m:sub>
            <m:r>
              <m:rPr/>
              <w:rPr>
                <w:rFonts w:ascii="Cambria Math" w:hAnsi="Cambria Math"/>
                <w:szCs w:val="21"/>
              </w:rPr>
              <m:t>∆</m:t>
            </m:r>
            <m:ctrlPr>
              <w:rPr>
                <w:rFonts w:ascii="Cambria Math" w:hAnsi="Cambria Math"/>
                <w:szCs w:val="21"/>
              </w:rPr>
            </m:ctrlPr>
          </m:sub>
        </m:sSub>
      </m:oMath>
      <w:r>
        <w:rPr>
          <w:rFonts w:ascii="TimesNewRomanPSMT" w:hAnsi="TimesNewRomanPSMT" w:eastAsia="SymbolMT" w:cs="TimesNewRomanPSMT"/>
          <w:sz w:val="22"/>
          <w:szCs w:val="22"/>
        </w:rPr>
        <w:t>——</w:t>
      </w:r>
      <w:r>
        <w:rPr>
          <w:rFonts w:hint="eastAsia" w:hAnsi="TimesNewRomanPSMT"/>
          <w:szCs w:val="21"/>
        </w:rPr>
        <w:t>定时标准偏差，单位为纳秒（ns）。</w:t>
      </w:r>
    </w:p>
    <w:p w14:paraId="5D75CCE3">
      <w:pPr>
        <w:pStyle w:val="41"/>
        <w:numPr>
          <w:ilvl w:val="0"/>
          <w:numId w:val="17"/>
        </w:numPr>
        <w:rPr>
          <w:rFonts w:eastAsiaTheme="minorEastAsia"/>
          <w:szCs w:val="21"/>
        </w:rPr>
      </w:pPr>
      <w:r>
        <w:rPr>
          <w:rFonts w:hint="eastAsia"/>
          <w:szCs w:val="21"/>
        </w:rPr>
        <w:t>按</w:t>
      </w:r>
      <w:r>
        <w:rPr>
          <w:rFonts w:hint="eastAsia" w:hAnsi="TimesNewRomanPSMT"/>
          <w:szCs w:val="21"/>
        </w:rPr>
        <w:t>公式7</w:t>
      </w:r>
      <w:r>
        <w:rPr>
          <w:rFonts w:hint="eastAsia"/>
          <w:szCs w:val="21"/>
        </w:rPr>
        <w:t>计算定时总偏差：</w:t>
      </w:r>
    </w:p>
    <w:p w14:paraId="0B420DB7">
      <w:pPr>
        <w:pStyle w:val="41"/>
        <w:tabs>
          <w:tab w:val="left" w:pos="1140"/>
        </w:tabs>
        <w:ind w:left="726" w:firstLine="0" w:firstLineChars="0"/>
        <w:jc w:val="right"/>
        <w:rPr>
          <w:rFonts w:ascii="TimesNewRomanPS-ItalicMT" w:hAnsi="TimesNewRomanPS-ItalicMT" w:cs="TimesNewRomanPS-ItalicMT"/>
          <w:i/>
          <w:szCs w:val="21"/>
        </w:rPr>
      </w:pPr>
      <m:oMath>
        <m:sSub>
          <m:sSubPr>
            <m:ctrlPr>
              <w:rPr>
                <w:rFonts w:ascii="Cambria Math" w:hAnsi="Cambria Math" w:cs="TimesNewRomanPS-ItalicMT"/>
                <w:iCs/>
              </w:rPr>
            </m:ctrlPr>
          </m:sSubPr>
          <m:e>
            <m:r>
              <m:rPr/>
              <w:rPr>
                <w:rFonts w:ascii="Cambria Math" w:hAnsi="Cambria Math" w:cs="TimesNewRomanPS-ItalicMT"/>
              </w:rPr>
              <m:t>B</m:t>
            </m:r>
            <m:ctrlPr>
              <w:rPr>
                <w:rFonts w:ascii="Cambria Math" w:hAnsi="Cambria Math" w:cs="TimesNewRomanPS-ItalicMT"/>
                <w:iCs/>
              </w:rPr>
            </m:ctrlPr>
          </m:e>
          <m:sub>
            <m:r>
              <m:rPr/>
              <w:rPr>
                <w:rFonts w:ascii="Cambria Math" w:hAnsi="Cambria Math" w:cs="TimesNewRomanPS-ItalicMT"/>
              </w:rPr>
              <m:t>γ</m:t>
            </m:r>
            <m:ctrlPr>
              <w:rPr>
                <w:rFonts w:ascii="Cambria Math" w:hAnsi="Cambria Math" w:cs="TimesNewRomanPS-ItalicMT"/>
                <w:iCs/>
              </w:rPr>
            </m:ctrlPr>
          </m:sub>
        </m:sSub>
        <m:r>
          <m:rPr/>
          <w:rPr>
            <w:rFonts w:ascii="Cambria Math" w:hAnsi="Cambria Math" w:cs="TimesNewRomanPS-ItalicMT"/>
          </w:rPr>
          <m:t>=2</m:t>
        </m:r>
        <m:sSub>
          <m:sSubPr>
            <m:ctrlPr>
              <w:rPr>
                <w:rFonts w:ascii="Cambria Math" w:hAnsi="Cambria Math"/>
                <w:szCs w:val="21"/>
              </w:rPr>
            </m:ctrlPr>
          </m:sSubPr>
          <m:e>
            <m:r>
              <m:rPr/>
              <w:rPr>
                <w:rFonts w:ascii="Cambria Math" w:hAnsi="Cambria Math"/>
                <w:szCs w:val="21"/>
              </w:rPr>
              <m:t>S</m:t>
            </m:r>
            <m:ctrlPr>
              <w:rPr>
                <w:rFonts w:ascii="Cambria Math" w:hAnsi="Cambria Math"/>
                <w:szCs w:val="21"/>
              </w:rPr>
            </m:ctrlPr>
          </m:e>
          <m:sub>
            <m:r>
              <m:rPr/>
              <w:rPr>
                <w:rFonts w:ascii="Cambria Math" w:hAnsi="Cambria Math"/>
                <w:szCs w:val="21"/>
              </w:rPr>
              <m:t>∆</m:t>
            </m:r>
            <m:ctrlPr>
              <w:rPr>
                <w:rFonts w:ascii="Cambria Math" w:hAnsi="Cambria Math"/>
                <w:szCs w:val="21"/>
              </w:rPr>
            </m:ctrlPr>
          </m:sub>
        </m:sSub>
        <m:r>
          <m:rPr/>
          <w:rPr>
            <w:rFonts w:ascii="Cambria Math" w:hAnsi="Cambria Math"/>
            <w:szCs w:val="21"/>
          </w:rPr>
          <m:t>+</m:t>
        </m:r>
        <m:d>
          <m:dPr>
            <m:begChr m:val="|"/>
            <m:endChr m:val="|"/>
            <m:ctrlPr>
              <w:rPr>
                <w:rFonts w:ascii="Cambria Math" w:hAnsi="Cambria Math"/>
                <w:i/>
                <w:szCs w:val="21"/>
              </w:rPr>
            </m:ctrlPr>
          </m:dPr>
          <m:e>
            <m:r>
              <m:rPr/>
              <w:rPr>
                <w:rFonts w:ascii="Cambria Math" w:hAnsi="Cambria Math"/>
                <w:szCs w:val="21"/>
              </w:rPr>
              <m:t>∆</m:t>
            </m:r>
            <m:ctrlPr>
              <w:rPr>
                <w:rFonts w:ascii="Cambria Math" w:hAnsi="Cambria Math"/>
                <w:i/>
                <w:szCs w:val="21"/>
              </w:rPr>
            </m:ctrlPr>
          </m:e>
        </m:d>
      </m:oMath>
      <w:r>
        <w:rPr>
          <w:rFonts w:hAnsi="TimesNewRomanPSMT"/>
          <w:szCs w:val="21"/>
        </w:rPr>
        <w:t>……………………………………</w:t>
      </w:r>
      <w:r>
        <w:rPr>
          <w:rFonts w:hint="eastAsia" w:hAnsi="TimesNewRomanPSMT"/>
          <w:szCs w:val="21"/>
        </w:rPr>
        <w:t>.（7）</w:t>
      </w:r>
    </w:p>
    <w:p w14:paraId="0014D284">
      <w:pPr>
        <w:pStyle w:val="7"/>
        <w:jc w:val="center"/>
        <w:rPr>
          <w:rFonts w:ascii="TimesNewRomanPS-ItalicMT" w:hAnsi="TimesNewRomanPS-ItalicMT" w:cs="TimesNewRomanPS-ItalicMT"/>
          <w:i/>
          <w:iCs/>
        </w:rPr>
      </w:pPr>
    </w:p>
    <w:p w14:paraId="39DCCBCC">
      <w:pPr>
        <w:pStyle w:val="41"/>
        <w:tabs>
          <w:tab w:val="left" w:pos="1140"/>
        </w:tabs>
        <w:ind w:left="726" w:firstLine="0" w:firstLineChars="0"/>
        <w:rPr>
          <w:rFonts w:hAnsi="TimesNewRomanPSMT"/>
          <w:szCs w:val="21"/>
        </w:rPr>
      </w:pPr>
      <w:r>
        <w:rPr>
          <w:rFonts w:hint="eastAsia" w:hAnsi="TimesNewRomanPSMT"/>
          <w:szCs w:val="21"/>
        </w:rPr>
        <w:t>式中：</w:t>
      </w:r>
    </w:p>
    <w:p w14:paraId="668333A4">
      <w:pPr>
        <w:pStyle w:val="41"/>
        <w:tabs>
          <w:tab w:val="left" w:pos="1140"/>
        </w:tabs>
        <w:ind w:left="726" w:firstLine="0" w:firstLineChars="0"/>
        <w:rPr>
          <w:rFonts w:ascii="Cambria Math" w:hAnsi="Cambria Math"/>
          <w:szCs w:val="21"/>
        </w:rPr>
      </w:pPr>
      <w:r>
        <w:rPr>
          <w:rFonts w:ascii="Cambria Math" w:hAnsi="Cambria Math"/>
          <w:i/>
          <w:iCs/>
          <w:szCs w:val="21"/>
        </w:rPr>
        <w:t>B</w:t>
      </w:r>
      <w:r>
        <w:rPr>
          <w:rFonts w:hint="eastAsia" w:ascii="Cambria Math" w:hAnsi="Cambria Math"/>
          <w:i/>
          <w:iCs/>
          <w:szCs w:val="21"/>
          <w:vertAlign w:val="subscript"/>
        </w:rPr>
        <w:t>γ</w:t>
      </w:r>
      <w:r>
        <w:rPr>
          <w:rFonts w:ascii="TimesNewRomanPSMT" w:hAnsi="TimesNewRomanPSMT" w:eastAsia="SymbolMT" w:cs="TimesNewRomanPSMT"/>
          <w:i/>
          <w:iCs/>
          <w:sz w:val="22"/>
          <w:szCs w:val="22"/>
        </w:rPr>
        <w:t>—</w:t>
      </w:r>
      <w:r>
        <w:rPr>
          <w:rFonts w:ascii="TimesNewRomanPSMT" w:hAnsi="TimesNewRomanPSMT" w:eastAsia="SymbolMT" w:cs="TimesNewRomanPSMT"/>
          <w:sz w:val="22"/>
          <w:szCs w:val="22"/>
        </w:rPr>
        <w:t>—</w:t>
      </w:r>
      <w:r>
        <w:rPr>
          <w:rFonts w:hint="eastAsia" w:ascii="Cambria Math" w:hAnsi="Cambria Math"/>
          <w:szCs w:val="21"/>
        </w:rPr>
        <w:t>定时总偏差，单位为纳秒（</w:t>
      </w:r>
      <w:r>
        <w:rPr>
          <w:rFonts w:ascii="Cambria Math" w:hAnsi="Cambria Math"/>
          <w:szCs w:val="21"/>
        </w:rPr>
        <w:t>ns</w:t>
      </w:r>
      <w:r>
        <w:rPr>
          <w:rFonts w:hint="eastAsia" w:ascii="Cambria Math" w:hAnsi="Cambria Math"/>
          <w:szCs w:val="21"/>
        </w:rPr>
        <w:t>）。</w:t>
      </w:r>
    </w:p>
    <w:p w14:paraId="5260FC95">
      <w:pPr>
        <w:pStyle w:val="36"/>
        <w:numPr>
          <w:ilvl w:val="2"/>
          <w:numId w:val="9"/>
        </w:numPr>
        <w:spacing w:before="156" w:after="156"/>
      </w:pPr>
      <w:r>
        <w:rPr>
          <w:rFonts w:hint="eastAsia"/>
        </w:rPr>
        <w:t>捕获灵敏度</w:t>
      </w:r>
    </w:p>
    <w:p w14:paraId="6DC6D072">
      <w:pPr>
        <w:pStyle w:val="41"/>
      </w:pPr>
      <w:r>
        <w:rPr>
          <w:rFonts w:hint="eastAsia"/>
          <w:szCs w:val="21"/>
        </w:rPr>
        <w:t>按GB/T39399-2020中5.8.3规定的方法进行。具体如下：</w:t>
      </w:r>
    </w:p>
    <w:p w14:paraId="7F3789F7">
      <w:pPr>
        <w:pStyle w:val="41"/>
      </w:pPr>
      <w:r>
        <w:rPr>
          <w:rFonts w:hint="eastAsia"/>
        </w:rPr>
        <w:t>使用卫星信号模拟器检验，设置模拟器仿真速度不高于</w:t>
      </w:r>
      <w:r>
        <w:t>2m/s的直线运动用户轨迹。</w:t>
      </w:r>
    </w:p>
    <w:p w14:paraId="10B4BFF2">
      <w:pPr>
        <w:pStyle w:val="41"/>
        <w:numPr>
          <w:ilvl w:val="0"/>
          <w:numId w:val="18"/>
        </w:numPr>
      </w:pPr>
      <w:r>
        <w:t>每次设置模拟器输出的各颗卫星的每一通道信号电平从</w:t>
      </w:r>
      <w:r>
        <w:rPr>
          <w:rFonts w:hint="eastAsia"/>
        </w:rPr>
        <w:t>采集终端远程通信单元</w:t>
      </w:r>
      <w:r>
        <w:t>不能捕获信号的状态开始，以1dB步进增加，从5.7.</w:t>
      </w:r>
      <w:r>
        <w:rPr>
          <w:rFonts w:hint="eastAsia"/>
        </w:rPr>
        <w:t>5</w:t>
      </w:r>
      <w:r>
        <w:t>规定的捕获灵敏度量值低2dB的电平值开始</w:t>
      </w:r>
      <w:r>
        <w:rPr>
          <w:rFonts w:hint="eastAsia"/>
        </w:rPr>
        <w:t>；</w:t>
      </w:r>
    </w:p>
    <w:p w14:paraId="01345A18">
      <w:pPr>
        <w:pStyle w:val="41"/>
        <w:numPr>
          <w:ilvl w:val="0"/>
          <w:numId w:val="18"/>
        </w:numPr>
      </w:pPr>
      <w:r>
        <w:t>在模拟器输出信号的每个电平值下，</w:t>
      </w:r>
      <w:r>
        <w:rPr>
          <w:rFonts w:hint="eastAsia"/>
        </w:rPr>
        <w:t>采集终端远程通信单元</w:t>
      </w:r>
      <w:r>
        <w:t>在冷启动状态下开机，检验</w:t>
      </w:r>
      <w:r>
        <w:rPr>
          <w:rFonts w:hint="eastAsia"/>
        </w:rPr>
        <w:t>其</w:t>
      </w:r>
      <w:r>
        <w:t>能否在300s内捕获信号，并以1Hz的更新率连续10次输出三维定位偏差小于100m的定位数据，找出能够使</w:t>
      </w:r>
      <w:r>
        <w:rPr>
          <w:rFonts w:hint="eastAsia"/>
        </w:rPr>
        <w:t>采集终端远程通信单元</w:t>
      </w:r>
      <w:r>
        <w:t>满足该定位要求的最低电平值。</w:t>
      </w:r>
    </w:p>
    <w:p w14:paraId="50710084">
      <w:pPr>
        <w:pStyle w:val="36"/>
        <w:numPr>
          <w:ilvl w:val="2"/>
          <w:numId w:val="9"/>
        </w:numPr>
        <w:spacing w:before="156" w:after="156"/>
      </w:pPr>
      <w:r>
        <w:rPr>
          <w:rFonts w:hint="eastAsia"/>
        </w:rPr>
        <w:t>跟踪灵敏度</w:t>
      </w:r>
    </w:p>
    <w:p w14:paraId="1A2DB1D5">
      <w:pPr>
        <w:pStyle w:val="41"/>
      </w:pPr>
      <w:r>
        <w:rPr>
          <w:rFonts w:hint="eastAsia"/>
          <w:szCs w:val="21"/>
        </w:rPr>
        <w:t>按GB/T39399-2020中5.8.4规定的方法进行。具体如下：</w:t>
      </w:r>
    </w:p>
    <w:p w14:paraId="660BEA34">
      <w:pPr>
        <w:pStyle w:val="41"/>
      </w:pPr>
      <w:r>
        <w:rPr>
          <w:rFonts w:hint="eastAsia"/>
        </w:rPr>
        <w:t>使用卫星信号模拟器检验，设置模拟器仿真速度不高于2m/s的直线运动用户轨迹。</w:t>
      </w:r>
    </w:p>
    <w:p w14:paraId="7224C513">
      <w:pPr>
        <w:pStyle w:val="41"/>
        <w:numPr>
          <w:ilvl w:val="0"/>
          <w:numId w:val="19"/>
        </w:numPr>
      </w:pPr>
      <w:r>
        <w:rPr>
          <w:rFonts w:hint="eastAsia"/>
        </w:rPr>
        <w:t>在采集终端远程通信单元正常定位的情况下，设置模拟器输出的各颗卫星的各通道信号电平以1dB步进降低；</w:t>
      </w:r>
    </w:p>
    <w:p w14:paraId="07A9513B">
      <w:pPr>
        <w:pStyle w:val="41"/>
        <w:numPr>
          <w:ilvl w:val="0"/>
          <w:numId w:val="19"/>
        </w:numPr>
      </w:pPr>
      <w:r>
        <w:rPr>
          <w:rFonts w:hint="eastAsia"/>
        </w:rPr>
        <w:t>在模拟器输出信号的每个电平值下，检验采集终端远程通信单元能否在300s内连续以1Hz的更新率连续10次输出三维定位误差小于100m的定位数据，找出能够使采集终端远程通信单元满足该定位要求的最低电平值。</w:t>
      </w:r>
    </w:p>
    <w:p w14:paraId="059E0A7F">
      <w:pPr>
        <w:pStyle w:val="36"/>
        <w:numPr>
          <w:ilvl w:val="2"/>
          <w:numId w:val="9"/>
        </w:numPr>
        <w:spacing w:before="156" w:after="156"/>
      </w:pPr>
      <w:r>
        <w:rPr>
          <w:rFonts w:hint="eastAsia"/>
        </w:rPr>
        <w:t>冷启动首次定位时间</w:t>
      </w:r>
    </w:p>
    <w:p w14:paraId="1B05573F">
      <w:pPr>
        <w:pStyle w:val="41"/>
      </w:pPr>
      <w:r>
        <w:rPr>
          <w:rFonts w:hint="eastAsia"/>
        </w:rPr>
        <w:t>按BD 420011-2015中5.6.7.1规定的方法进行。具体如下：</w:t>
      </w:r>
    </w:p>
    <w:p w14:paraId="36F0CCB3">
      <w:pPr>
        <w:pStyle w:val="41"/>
      </w:pPr>
      <w:r>
        <w:rPr>
          <w:rFonts w:hint="eastAsia"/>
        </w:rPr>
        <w:t>使用卫星信号模拟器进行检验，设置模拟器仿真速度不高于2m/s的直线运动用户轨迹。使采集终端远程通信单元在下述任一种状态下开机：</w:t>
      </w:r>
    </w:p>
    <w:p w14:paraId="4EE9CD70">
      <w:pPr>
        <w:pStyle w:val="41"/>
        <w:numPr>
          <w:ilvl w:val="0"/>
          <w:numId w:val="20"/>
        </w:numPr>
      </w:pPr>
      <w:r>
        <w:rPr>
          <w:rFonts w:hint="eastAsia"/>
        </w:rPr>
        <w:t>为采集终端远程通信单元初始化一个距实际检验位置不少于1000km，但不超过10000km的伪位置，或删除当前历书数据；</w:t>
      </w:r>
    </w:p>
    <w:p w14:paraId="7A7B166E">
      <w:pPr>
        <w:pStyle w:val="41"/>
        <w:numPr>
          <w:ilvl w:val="0"/>
          <w:numId w:val="20"/>
        </w:numPr>
      </w:pPr>
      <w:r>
        <w:rPr>
          <w:rFonts w:hint="eastAsia"/>
        </w:rPr>
        <w:t>7d以上不加电。</w:t>
      </w:r>
    </w:p>
    <w:p w14:paraId="5F186482">
      <w:pPr>
        <w:pStyle w:val="41"/>
      </w:pPr>
      <w:r>
        <w:rPr>
          <w:rFonts w:hint="eastAsia"/>
        </w:rPr>
        <w:t>以1Hz的位置更新率连续记录输出的定位数据，找出首次连续10次输出三维定位误差不超过100m的定位数据的时刻，计算从开机至上述10个输出时刻中第1个时刻的时间间隔。</w:t>
      </w:r>
    </w:p>
    <w:p w14:paraId="45D4B474">
      <w:pPr>
        <w:pStyle w:val="36"/>
        <w:numPr>
          <w:ilvl w:val="2"/>
          <w:numId w:val="9"/>
        </w:numPr>
        <w:spacing w:before="156" w:after="156"/>
      </w:pPr>
      <w:r>
        <w:rPr>
          <w:rFonts w:hint="eastAsia"/>
        </w:rPr>
        <w:t>热启动首次定位时间</w:t>
      </w:r>
    </w:p>
    <w:p w14:paraId="0C1BAF32">
      <w:pPr>
        <w:pStyle w:val="41"/>
      </w:pPr>
      <w:r>
        <w:rPr>
          <w:rFonts w:hint="eastAsia"/>
        </w:rPr>
        <w:t>按BD 420011-2015中5.6.7.2规定的方法进行。具体如下：</w:t>
      </w:r>
    </w:p>
    <w:p w14:paraId="1D1CB79B">
      <w:pPr>
        <w:pStyle w:val="41"/>
      </w:pPr>
      <w:r>
        <w:rPr>
          <w:rFonts w:hint="eastAsia"/>
        </w:rPr>
        <w:t>使用卫星信号模拟器进行检验，设置模拟器仿真速度不高于2m/s的直线运行用户轨迹。</w:t>
      </w:r>
    </w:p>
    <w:p w14:paraId="71BC6FC0">
      <w:pPr>
        <w:pStyle w:val="41"/>
      </w:pPr>
      <w:r>
        <w:rPr>
          <w:rFonts w:hint="eastAsia"/>
        </w:rPr>
        <w:t>在采集终端远程通信单元正常定位状态下，短时断电和卫星信号60s后，采集终端远程通信单元重新开机，以1Hz的位置更新率连续记录输出的定位数据，找出首次连续10次输出三维定位误差不超过100m的定位数据的时刻，计算从开机至上述10个输出时刻中第1个时刻的时间间隔。</w:t>
      </w:r>
    </w:p>
    <w:p w14:paraId="65180CAA">
      <w:pPr>
        <w:pStyle w:val="34"/>
        <w:numPr>
          <w:ilvl w:val="1"/>
          <w:numId w:val="9"/>
        </w:numPr>
        <w:spacing w:before="156" w:after="156"/>
      </w:pPr>
      <w:bookmarkStart w:id="161" w:name="_Toc164421272"/>
      <w:bookmarkStart w:id="162" w:name="_Toc14931"/>
      <w:r>
        <w:rPr>
          <w:rFonts w:hint="eastAsia"/>
        </w:rPr>
        <w:t>通信性能试验</w:t>
      </w:r>
      <w:bookmarkEnd w:id="161"/>
      <w:bookmarkEnd w:id="162"/>
    </w:p>
    <w:p w14:paraId="66AAAF98">
      <w:pPr>
        <w:pStyle w:val="36"/>
        <w:numPr>
          <w:ilvl w:val="2"/>
          <w:numId w:val="15"/>
        </w:numPr>
        <w:spacing w:before="156" w:after="156"/>
      </w:pPr>
      <w:r>
        <w:rPr>
          <w:rFonts w:hint="eastAsia"/>
        </w:rPr>
        <w:t>输出功率</w:t>
      </w:r>
    </w:p>
    <w:p w14:paraId="3D1F5241">
      <w:pPr>
        <w:pStyle w:val="41"/>
        <w:ind w:left="420" w:firstLine="0" w:firstLineChars="0"/>
      </w:pPr>
      <w:r>
        <w:rPr>
          <w:rFonts w:hint="eastAsia"/>
        </w:rPr>
        <w:t>通信单元</w:t>
      </w:r>
      <w:r>
        <w:t>与测试</w:t>
      </w:r>
      <w:r>
        <w:rPr>
          <w:rFonts w:hint="eastAsia"/>
        </w:rPr>
        <w:t>终端</w:t>
      </w:r>
      <w:r>
        <w:t>连接</w:t>
      </w:r>
      <w:r>
        <w:rPr>
          <w:rFonts w:hint="eastAsia"/>
        </w:rPr>
        <w:t>，为通信单元</w:t>
      </w:r>
      <w:r>
        <w:t>供电，使其正常工作</w:t>
      </w:r>
      <w:r>
        <w:rPr>
          <w:rFonts w:hint="eastAsia"/>
        </w:rPr>
        <w:t>。</w:t>
      </w:r>
    </w:p>
    <w:p w14:paraId="75A36100">
      <w:pPr>
        <w:pStyle w:val="41"/>
        <w:numPr>
          <w:ilvl w:val="0"/>
          <w:numId w:val="21"/>
        </w:numPr>
        <w:ind w:firstLineChars="0"/>
      </w:pPr>
      <w:r>
        <w:t>设置</w:t>
      </w:r>
      <w:r>
        <w:rPr>
          <w:rFonts w:hint="eastAsia"/>
        </w:rPr>
        <w:t>通信单元</w:t>
      </w:r>
      <w:r>
        <w:t>输出功率为最大值，分别测试</w:t>
      </w:r>
      <w:r>
        <w:rPr>
          <w:rFonts w:hint="eastAsia"/>
        </w:rPr>
        <w:t>通信单元</w:t>
      </w:r>
      <w:r>
        <w:t>在不同频段、不同带宽下（频段和带宽可根据</w:t>
      </w:r>
      <w:r>
        <w:rPr>
          <w:rFonts w:hint="eastAsia"/>
        </w:rPr>
        <w:t>采集终端远程通信单元</w:t>
      </w:r>
      <w:r>
        <w:t>支持范围确定）的输出功率；</w:t>
      </w:r>
    </w:p>
    <w:p w14:paraId="17CD3197">
      <w:pPr>
        <w:pStyle w:val="41"/>
        <w:numPr>
          <w:ilvl w:val="0"/>
          <w:numId w:val="21"/>
        </w:numPr>
        <w:ind w:firstLineChars="0"/>
      </w:pPr>
      <w:r>
        <w:t>设置</w:t>
      </w:r>
      <w:r>
        <w:rPr>
          <w:rFonts w:hint="eastAsia"/>
        </w:rPr>
        <w:t>通信单元</w:t>
      </w:r>
      <w:r>
        <w:t>输出功率为最小值，分别测试单位单元在不同频段、不同带宽下的输出功率</w:t>
      </w:r>
      <w:r>
        <w:rPr>
          <w:rFonts w:hint="eastAsia"/>
        </w:rPr>
        <w:t>；</w:t>
      </w:r>
    </w:p>
    <w:p w14:paraId="35F4399C">
      <w:pPr>
        <w:pStyle w:val="41"/>
        <w:numPr>
          <w:ilvl w:val="0"/>
          <w:numId w:val="21"/>
        </w:numPr>
        <w:ind w:firstLineChars="0"/>
      </w:pPr>
      <w:r>
        <w:t>重复</w:t>
      </w:r>
      <w:r>
        <w:rPr>
          <w:rFonts w:hint="eastAsia"/>
        </w:rPr>
        <w:t>c</w:t>
      </w:r>
      <w:r>
        <w:t>）、</w:t>
      </w:r>
      <w:r>
        <w:rPr>
          <w:rFonts w:hint="eastAsia"/>
        </w:rPr>
        <w:t>d</w:t>
      </w:r>
      <w:r>
        <w:t>），直到所有需要覆盖的频段和带宽均测试完成。</w:t>
      </w:r>
    </w:p>
    <w:p w14:paraId="7552E1A5">
      <w:pPr>
        <w:pStyle w:val="36"/>
        <w:numPr>
          <w:ilvl w:val="2"/>
          <w:numId w:val="15"/>
        </w:numPr>
        <w:spacing w:before="156" w:after="156"/>
      </w:pPr>
      <w:r>
        <w:rPr>
          <w:rFonts w:hint="eastAsia"/>
        </w:rPr>
        <w:t>接收灵敏度</w:t>
      </w:r>
    </w:p>
    <w:p w14:paraId="07A77E31">
      <w:pPr>
        <w:pStyle w:val="41"/>
        <w:ind w:left="420" w:firstLine="0" w:firstLineChars="0"/>
      </w:pPr>
      <w:r>
        <w:rPr>
          <w:rFonts w:hint="eastAsia"/>
        </w:rPr>
        <w:t>按</w:t>
      </w:r>
      <w:bookmarkStart w:id="163" w:name="_Hlk161049198"/>
      <w:r>
        <w:t>YD/T 2576.2-2013</w:t>
      </w:r>
      <w:bookmarkEnd w:id="163"/>
      <w:r>
        <w:rPr>
          <w:rFonts w:hint="eastAsia"/>
        </w:rPr>
        <w:t>与</w:t>
      </w:r>
      <w:r>
        <w:rPr>
          <w:rFonts w:hAnsi="宋体" w:cs="宋体"/>
          <w:szCs w:val="21"/>
        </w:rPr>
        <w:t>YD/T 2578.2-2013</w:t>
      </w:r>
      <w:r>
        <w:rPr>
          <w:rFonts w:hint="eastAsia"/>
        </w:rPr>
        <w:t>中</w:t>
      </w:r>
      <w:r>
        <w:t>6.3</w:t>
      </w:r>
      <w:r>
        <w:rPr>
          <w:rFonts w:hint="eastAsia"/>
        </w:rPr>
        <w:t>，测试方法进行。</w:t>
      </w:r>
    </w:p>
    <w:p w14:paraId="3FA0CC08">
      <w:pPr>
        <w:pStyle w:val="41"/>
        <w:numPr>
          <w:ilvl w:val="0"/>
          <w:numId w:val="22"/>
        </w:numPr>
        <w:ind w:firstLineChars="0"/>
      </w:pPr>
      <w:r>
        <w:rPr>
          <w:rFonts w:hint="eastAsia"/>
        </w:rPr>
        <w:t>远程通信单元</w:t>
      </w:r>
      <w:r>
        <w:t>与测试设备连接；</w:t>
      </w:r>
    </w:p>
    <w:p w14:paraId="16C02B85">
      <w:pPr>
        <w:pStyle w:val="41"/>
        <w:numPr>
          <w:ilvl w:val="0"/>
          <w:numId w:val="22"/>
        </w:numPr>
        <w:ind w:firstLineChars="0"/>
      </w:pPr>
      <w:r>
        <w:t>给</w:t>
      </w:r>
      <w:r>
        <w:rPr>
          <w:rFonts w:hint="eastAsia"/>
        </w:rPr>
        <w:t>采集终端远程通信单元</w:t>
      </w:r>
      <w:r>
        <w:t>供电，使其正常工作；</w:t>
      </w:r>
    </w:p>
    <w:p w14:paraId="65525446">
      <w:pPr>
        <w:pStyle w:val="41"/>
        <w:numPr>
          <w:ilvl w:val="0"/>
          <w:numId w:val="22"/>
        </w:numPr>
        <w:ind w:firstLineChars="0"/>
      </w:pPr>
      <w:r>
        <w:t>设置</w:t>
      </w:r>
      <w:r>
        <w:rPr>
          <w:rFonts w:hint="eastAsia"/>
        </w:rPr>
        <w:t>采集终端远程通信单元</w:t>
      </w:r>
      <w:r>
        <w:t>为最大输出功率模式；</w:t>
      </w:r>
    </w:p>
    <w:p w14:paraId="2277DBCC">
      <w:pPr>
        <w:pStyle w:val="41"/>
        <w:numPr>
          <w:ilvl w:val="0"/>
          <w:numId w:val="22"/>
        </w:numPr>
        <w:ind w:firstLineChars="0"/>
      </w:pPr>
      <w:r>
        <w:t>测试设备向</w:t>
      </w:r>
      <w:r>
        <w:rPr>
          <w:rFonts w:hint="eastAsia"/>
        </w:rPr>
        <w:t>采集终端远程通信单元</w:t>
      </w:r>
      <w:r>
        <w:t>发射信号，吞吐量应大于等于测量信道最大吞吐量的95%，发射功率可以设置为小于</w:t>
      </w:r>
      <w:r>
        <w:rPr>
          <w:rFonts w:hint="eastAsia"/>
        </w:rPr>
        <w:t>采集终端远程通信单元</w:t>
      </w:r>
      <w:r>
        <w:t>灵敏度的值，使其接收不到信号；</w:t>
      </w:r>
    </w:p>
    <w:p w14:paraId="6B37D6D5">
      <w:pPr>
        <w:pStyle w:val="41"/>
        <w:numPr>
          <w:ilvl w:val="0"/>
          <w:numId w:val="22"/>
        </w:numPr>
        <w:ind w:firstLineChars="0"/>
      </w:pPr>
      <w:r>
        <w:t>测试设备以0.1（或0.2dB、0.5dB等递进值）逐渐增加发射功率，直到</w:t>
      </w:r>
      <w:r>
        <w:rPr>
          <w:rFonts w:hint="eastAsia"/>
        </w:rPr>
        <w:t>采集终端远程通信单元</w:t>
      </w:r>
      <w:r>
        <w:t>可以接收到信号，则可以接收到信号的功率即为</w:t>
      </w:r>
      <w:r>
        <w:rPr>
          <w:rFonts w:hint="eastAsia"/>
        </w:rPr>
        <w:t>采集终端远程通信单元</w:t>
      </w:r>
      <w:r>
        <w:t>的接收灵敏度</w:t>
      </w:r>
      <w:r>
        <w:rPr>
          <w:rFonts w:hint="eastAsia"/>
        </w:rPr>
        <w:t>；</w:t>
      </w:r>
    </w:p>
    <w:p w14:paraId="58398C48">
      <w:pPr>
        <w:pStyle w:val="41"/>
        <w:numPr>
          <w:ilvl w:val="0"/>
          <w:numId w:val="22"/>
        </w:numPr>
        <w:ind w:firstLineChars="0"/>
      </w:pPr>
      <w:r>
        <w:t>重复</w:t>
      </w:r>
      <w:r>
        <w:rPr>
          <w:rFonts w:hint="eastAsia"/>
        </w:rPr>
        <w:t>d</w:t>
      </w:r>
      <w:r>
        <w:t>）、</w:t>
      </w:r>
      <w:r>
        <w:rPr>
          <w:rFonts w:hint="eastAsia"/>
        </w:rPr>
        <w:t>e</w:t>
      </w:r>
      <w:r>
        <w:t>），直到直到所有需要覆盖的频段和带宽均测试完成。</w:t>
      </w:r>
    </w:p>
    <w:p w14:paraId="32C79D5E">
      <w:pPr>
        <w:pStyle w:val="34"/>
        <w:numPr>
          <w:ilvl w:val="1"/>
          <w:numId w:val="9"/>
        </w:numPr>
        <w:spacing w:before="156" w:after="156"/>
      </w:pPr>
      <w:bookmarkStart w:id="164" w:name="_Toc164421273"/>
      <w:r>
        <w:rPr>
          <w:rFonts w:hint="eastAsia"/>
        </w:rPr>
        <w:t>互换功能测试</w:t>
      </w:r>
      <w:bookmarkEnd w:id="164"/>
    </w:p>
    <w:p w14:paraId="2EECF89D">
      <w:pPr>
        <w:pStyle w:val="41"/>
      </w:pPr>
      <w:r>
        <w:rPr>
          <w:rFonts w:hint="eastAsia"/>
        </w:rPr>
        <w:t>通信单元应能与终端相匹配，完成数据采集的各项功能，测试步骤</w:t>
      </w:r>
      <w:r>
        <w:t>:</w:t>
      </w:r>
    </w:p>
    <w:p w14:paraId="540A743A">
      <w:pPr>
        <w:pStyle w:val="41"/>
        <w:numPr>
          <w:ilvl w:val="0"/>
          <w:numId w:val="23"/>
        </w:numPr>
        <w:ind w:firstLineChars="0"/>
      </w:pPr>
      <w:r>
        <w:t>如图</w:t>
      </w:r>
      <w:r>
        <w:rPr>
          <w:rFonts w:hint="eastAsia"/>
        </w:rPr>
        <w:t>3</w:t>
      </w:r>
      <w:r>
        <w:t>所示搭建通信单元的互换功能测试系统，测试系统应能正常召测终端数据</w:t>
      </w:r>
      <w:r>
        <w:rPr>
          <w:rFonts w:hint="eastAsia"/>
        </w:rPr>
        <w:t>；</w:t>
      </w:r>
    </w:p>
    <w:p w14:paraId="3019C311">
      <w:pPr>
        <w:pStyle w:val="41"/>
        <w:numPr>
          <w:ilvl w:val="0"/>
          <w:numId w:val="23"/>
        </w:numPr>
        <w:ind w:firstLineChars="0"/>
      </w:pPr>
      <w:r>
        <w:t>卸下标准通信单元，换上被测通信单元，系统运行5min后应能通过主站召测终端数据。</w:t>
      </w:r>
    </w:p>
    <w:p w14:paraId="675D2F87">
      <w:pPr>
        <w:pStyle w:val="41"/>
        <w:ind w:left="860" w:firstLine="0" w:firstLineChars="0"/>
      </w:pPr>
      <w:r>
        <mc:AlternateContent>
          <mc:Choice Requires="wpg">
            <w:drawing>
              <wp:anchor distT="0" distB="0" distL="114300" distR="114300" simplePos="0" relativeHeight="251665408" behindDoc="0" locked="0" layoutInCell="1" allowOverlap="1">
                <wp:simplePos x="0" y="0"/>
                <wp:positionH relativeFrom="column">
                  <wp:posOffset>2350770</wp:posOffset>
                </wp:positionH>
                <wp:positionV relativeFrom="paragraph">
                  <wp:posOffset>153670</wp:posOffset>
                </wp:positionV>
                <wp:extent cx="1303655" cy="1358265"/>
                <wp:effectExtent l="4445" t="4445" r="17780" b="8890"/>
                <wp:wrapNone/>
                <wp:docPr id="12" name="组合 1082"/>
                <wp:cNvGraphicFramePr/>
                <a:graphic xmlns:a="http://schemas.openxmlformats.org/drawingml/2006/main">
                  <a:graphicData uri="http://schemas.microsoft.com/office/word/2010/wordprocessingGroup">
                    <wpg:wgp>
                      <wpg:cNvGrpSpPr/>
                      <wpg:grpSpPr>
                        <a:xfrm>
                          <a:off x="0" y="0"/>
                          <a:ext cx="1303655" cy="1358265"/>
                          <a:chOff x="2733" y="8885"/>
                          <a:chExt cx="2053" cy="2139"/>
                        </a:xfrm>
                      </wpg:grpSpPr>
                      <wps:wsp>
                        <wps:cNvPr id="8" name="文本框 1078"/>
                        <wps:cNvSpPr txBox="1"/>
                        <wps:spPr>
                          <a:xfrm>
                            <a:off x="3155" y="8885"/>
                            <a:ext cx="1128" cy="49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DADA92">
                              <w:pPr>
                                <w:jc w:val="center"/>
                                <w:rPr>
                                  <w:rFonts w:ascii="黑体" w:hAnsi="黑体" w:eastAsia="黑体"/>
                                  <w:sz w:val="18"/>
                                  <w:szCs w:val="18"/>
                                </w:rPr>
                              </w:pPr>
                              <w:r>
                                <w:rPr>
                                  <w:rFonts w:hint="eastAsia" w:ascii="黑体" w:hAnsi="黑体" w:eastAsia="黑体"/>
                                  <w:sz w:val="18"/>
                                  <w:szCs w:val="18"/>
                                </w:rPr>
                                <w:t>主站</w:t>
                              </w:r>
                            </w:p>
                          </w:txbxContent>
                        </wps:txbx>
                        <wps:bodyPr upright="1"/>
                      </wps:wsp>
                      <wps:wsp>
                        <wps:cNvPr id="9" name="文本框 1079"/>
                        <wps:cNvSpPr txBox="1"/>
                        <wps:spPr>
                          <a:xfrm>
                            <a:off x="2733" y="9804"/>
                            <a:ext cx="2053" cy="12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0153B23">
                              <w:pPr>
                                <w:jc w:val="center"/>
                                <w:rPr>
                                  <w:rFonts w:ascii="黑体" w:hAnsi="黑体" w:eastAsia="黑体"/>
                                  <w:sz w:val="18"/>
                                  <w:szCs w:val="18"/>
                                </w:rPr>
                              </w:pPr>
                              <w:r>
                                <w:rPr>
                                  <w:rFonts w:hint="eastAsia" w:ascii="黑体" w:hAnsi="黑体" w:eastAsia="黑体"/>
                                  <w:sz w:val="18"/>
                                  <w:szCs w:val="18"/>
                                </w:rPr>
                                <w:t>标准终端</w:t>
                              </w:r>
                            </w:p>
                          </w:txbxContent>
                        </wps:txbx>
                        <wps:bodyPr upright="1"/>
                      </wps:wsp>
                      <wps:wsp>
                        <wps:cNvPr id="10" name="文本框 1080"/>
                        <wps:cNvSpPr txBox="1"/>
                        <wps:spPr>
                          <a:xfrm>
                            <a:off x="2843" y="10319"/>
                            <a:ext cx="1814" cy="533"/>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35CF1E1C">
                              <w:pPr>
                                <w:jc w:val="center"/>
                                <w:rPr>
                                  <w:rFonts w:ascii="黑体" w:hAnsi="黑体" w:eastAsia="黑体"/>
                                  <w:sz w:val="18"/>
                                  <w:szCs w:val="18"/>
                                </w:rPr>
                              </w:pPr>
                              <w:r>
                                <w:rPr>
                                  <w:rFonts w:hint="eastAsia" w:ascii="黑体" w:hAnsi="黑体" w:eastAsia="黑体"/>
                                  <w:sz w:val="18"/>
                                  <w:szCs w:val="18"/>
                                </w:rPr>
                                <w:t>被测通信单元</w:t>
                              </w:r>
                            </w:p>
                          </w:txbxContent>
                        </wps:txbx>
                        <wps:bodyPr upright="1"/>
                      </wps:wsp>
                      <wps:wsp>
                        <wps:cNvPr id="11" name="自选图形 1081"/>
                        <wps:cNvCnPr/>
                        <wps:spPr>
                          <a:xfrm>
                            <a:off x="3707" y="9381"/>
                            <a:ext cx="6" cy="423"/>
                          </a:xfrm>
                          <a:prstGeom prst="straightConnector1">
                            <a:avLst/>
                          </a:prstGeom>
                          <a:ln w="9525" cap="flat" cmpd="sng">
                            <a:solidFill>
                              <a:srgbClr val="000000"/>
                            </a:solidFill>
                            <a:prstDash val="solid"/>
                            <a:headEnd type="triangle" w="med" len="med"/>
                            <a:tailEnd type="triangle" w="med" len="med"/>
                          </a:ln>
                        </wps:spPr>
                        <wps:bodyPr/>
                      </wps:wsp>
                    </wpg:wgp>
                  </a:graphicData>
                </a:graphic>
              </wp:anchor>
            </w:drawing>
          </mc:Choice>
          <mc:Fallback>
            <w:pict>
              <v:group id="组合 1082" o:spid="_x0000_s1026" o:spt="203" style="position:absolute;left:0pt;margin-left:185.1pt;margin-top:12.1pt;height:106.95pt;width:102.65pt;z-index:251665408;mso-width-relative:page;mso-height-relative:page;" coordorigin="2733,8885" coordsize="2053,2139" o:gfxdata="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">
                <o:lock v:ext="edit" aspectratio="f"/>
                <v:shape id="文本框 1078" o:spid="_x0000_s1026" o:spt="202" type="#_x0000_t202" style="position:absolute;left:3155;top:8885;height:496;width:1128;" fillcolor="#FFFFFF" filled="t" stroked="t" coordsize="21600,21600" o:gfxdata="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7t26e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6CDADA92">
                        <w:pPr>
                          <w:jc w:val="center"/>
                          <w:rPr>
                            <w:rFonts w:ascii="黑体" w:hAnsi="黑体" w:eastAsia="黑体"/>
                            <w:sz w:val="18"/>
                            <w:szCs w:val="18"/>
                          </w:rPr>
                        </w:pPr>
                        <w:r>
                          <w:rPr>
                            <w:rFonts w:hint="eastAsia" w:ascii="黑体" w:hAnsi="黑体" w:eastAsia="黑体"/>
                            <w:sz w:val="18"/>
                            <w:szCs w:val="18"/>
                          </w:rPr>
                          <w:t>主站</w:t>
                        </w:r>
                      </w:p>
                    </w:txbxContent>
                  </v:textbox>
                </v:shape>
                <v:shape id="文本框 1079" o:spid="_x0000_s1026" o:spt="202" type="#_x0000_t202" style="position:absolute;left:2733;top:9804;height:1220;width:2053;" fillcolor="#FFFFFF" filled="t" stroked="t" coordsize="21600,21600" o:gfxdata="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oX48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0153B23">
                        <w:pPr>
                          <w:jc w:val="center"/>
                          <w:rPr>
                            <w:rFonts w:ascii="黑体" w:hAnsi="黑体" w:eastAsia="黑体"/>
                            <w:sz w:val="18"/>
                            <w:szCs w:val="18"/>
                          </w:rPr>
                        </w:pPr>
                        <w:r>
                          <w:rPr>
                            <w:rFonts w:hint="eastAsia" w:ascii="黑体" w:hAnsi="黑体" w:eastAsia="黑体"/>
                            <w:sz w:val="18"/>
                            <w:szCs w:val="18"/>
                          </w:rPr>
                          <w:t>标准终端</w:t>
                        </w:r>
                      </w:p>
                    </w:txbxContent>
                  </v:textbox>
                </v:shape>
                <v:shape id="文本框 1080" o:spid="_x0000_s1026" o:spt="202" type="#_x0000_t202" style="position:absolute;left:2843;top:10319;height:533;width:1814;" fillcolor="#FFFFFF" filled="t" stroked="t" coordsize="21600,21600" o:gfxdata="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FMtOr4A&#10;AADbAAAADwAAAAAAAAABACAAAAAiAAAAZHJzL2Rvd25yZXYueG1sUEsBAhQAFAAAAAgAh07iQDMv&#10;BZ47AAAAOQAAABAAAAAAAAAAAQAgAAAADQEAAGRycy9zaGFwZXhtbC54bWxQSwUGAAAAAAYABgBb&#10;AQAAtwMAAAAA&#10;">
                  <v:fill on="t" focussize="0,0"/>
                  <v:stroke color="#000000" joinstyle="miter" dashstyle="dash"/>
                  <v:imagedata o:title=""/>
                  <o:lock v:ext="edit" aspectratio="f"/>
                  <v:textbox>
                    <w:txbxContent>
                      <w:p w14:paraId="35CF1E1C">
                        <w:pPr>
                          <w:jc w:val="center"/>
                          <w:rPr>
                            <w:rFonts w:ascii="黑体" w:hAnsi="黑体" w:eastAsia="黑体"/>
                            <w:sz w:val="18"/>
                            <w:szCs w:val="18"/>
                          </w:rPr>
                        </w:pPr>
                        <w:r>
                          <w:rPr>
                            <w:rFonts w:hint="eastAsia" w:ascii="黑体" w:hAnsi="黑体" w:eastAsia="黑体"/>
                            <w:sz w:val="18"/>
                            <w:szCs w:val="18"/>
                          </w:rPr>
                          <w:t>被测通信单元</w:t>
                        </w:r>
                      </w:p>
                    </w:txbxContent>
                  </v:textbox>
                </v:shape>
                <v:shape id="自选图形 1081" o:spid="_x0000_s1026" o:spt="32" type="#_x0000_t32" style="position:absolute;left:3707;top:9381;height:423;width:6;" filled="f" stroked="t" coordsize="21600,21600" o:gfxdata="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RTDGugAAANsA&#10;AAAPAAAAAAAAAAEAIAAAACIAAABkcnMvZG93bnJldi54bWxQSwECFAAUAAAACACHTuJAMy8FnjsA&#10;AAA5AAAAEAAAAAAAAAABACAAAAAJAQAAZHJzL3NoYXBleG1sLnhtbFBLBQYAAAAABgAGAFsBAACz&#10;AwAAAAA=&#10;">
                  <v:fill on="f" focussize="0,0"/>
                  <v:stroke color="#000000" joinstyle="round" startarrow="block" endarrow="block"/>
                  <v:imagedata o:title=""/>
                  <o:lock v:ext="edit" aspectratio="f"/>
                </v:shape>
              </v:group>
            </w:pict>
          </mc:Fallback>
        </mc:AlternateContent>
      </w:r>
    </w:p>
    <w:p w14:paraId="7CF52B66">
      <w:pPr>
        <w:pStyle w:val="41"/>
        <w:ind w:left="860" w:firstLine="0" w:firstLineChars="0"/>
      </w:pPr>
    </w:p>
    <w:p w14:paraId="648EF4B1">
      <w:pPr>
        <w:pStyle w:val="41"/>
        <w:ind w:left="860" w:firstLine="0" w:firstLineChars="0"/>
      </w:pPr>
    </w:p>
    <w:p w14:paraId="5B4E2841">
      <w:pPr>
        <w:pStyle w:val="41"/>
        <w:ind w:left="860" w:firstLine="0" w:firstLineChars="0"/>
      </w:pPr>
    </w:p>
    <w:p w14:paraId="606B2C6A">
      <w:pPr>
        <w:pStyle w:val="41"/>
        <w:ind w:left="860" w:firstLine="0" w:firstLineChars="0"/>
      </w:pPr>
    </w:p>
    <w:p w14:paraId="0A93C071">
      <w:pPr>
        <w:pStyle w:val="41"/>
        <w:ind w:left="860" w:firstLine="0" w:firstLineChars="0"/>
      </w:pPr>
    </w:p>
    <w:p w14:paraId="614A7209">
      <w:pPr>
        <w:pStyle w:val="41"/>
        <w:ind w:left="860" w:firstLine="0" w:firstLineChars="0"/>
      </w:pPr>
    </w:p>
    <w:p w14:paraId="0005ABF3">
      <w:pPr>
        <w:pStyle w:val="41"/>
        <w:ind w:left="860" w:firstLine="0" w:firstLineChars="0"/>
      </w:pPr>
    </w:p>
    <w:p w14:paraId="74A2333C">
      <w:pPr>
        <w:pStyle w:val="7"/>
        <w:jc w:val="center"/>
      </w:pPr>
      <w:r>
        <w:rPr>
          <w:rFonts w:hint="eastAsia"/>
        </w:rPr>
        <w:t>图3互换功能测试系统</w:t>
      </w:r>
    </w:p>
    <w:p w14:paraId="0D947A37">
      <w:pPr>
        <w:pStyle w:val="35"/>
        <w:numPr>
          <w:ilvl w:val="0"/>
          <w:numId w:val="9"/>
        </w:numPr>
        <w:spacing w:before="312" w:after="312"/>
      </w:pPr>
      <w:bookmarkStart w:id="165" w:name="_Toc13549"/>
      <w:bookmarkStart w:id="166" w:name="_Toc164421274"/>
      <w:r>
        <w:rPr>
          <w:rFonts w:hint="eastAsia"/>
        </w:rPr>
        <w:t>检验规则</w:t>
      </w:r>
      <w:bookmarkEnd w:id="165"/>
      <w:bookmarkEnd w:id="166"/>
    </w:p>
    <w:p w14:paraId="14214329">
      <w:pPr>
        <w:pStyle w:val="34"/>
        <w:numPr>
          <w:ilvl w:val="1"/>
          <w:numId w:val="9"/>
        </w:numPr>
        <w:spacing w:before="156" w:after="156"/>
        <w:ind w:left="180" w:leftChars="75"/>
      </w:pPr>
      <w:bookmarkStart w:id="167" w:name="_Toc164421275"/>
      <w:bookmarkStart w:id="168" w:name="_Toc14319"/>
      <w:r>
        <w:rPr>
          <w:rFonts w:hint="eastAsia"/>
        </w:rPr>
        <w:t>检验分类</w:t>
      </w:r>
      <w:bookmarkEnd w:id="167"/>
      <w:bookmarkEnd w:id="168"/>
    </w:p>
    <w:p w14:paraId="5B1A31B1">
      <w:pPr>
        <w:pStyle w:val="36"/>
        <w:numPr>
          <w:ilvl w:val="2"/>
          <w:numId w:val="9"/>
        </w:numPr>
        <w:spacing w:before="156" w:after="156"/>
      </w:pPr>
      <w:bookmarkStart w:id="169" w:name="_Hlk163739177"/>
      <w:r>
        <w:rPr>
          <w:rFonts w:hint="eastAsia"/>
        </w:rPr>
        <w:t>输出功率</w:t>
      </w:r>
    </w:p>
    <w:bookmarkEnd w:id="169"/>
    <w:p w14:paraId="16F13D2D">
      <w:pPr>
        <w:pStyle w:val="41"/>
      </w:pPr>
      <w:r>
        <w:rPr>
          <w:rFonts w:hint="eastAsia"/>
        </w:rPr>
        <w:t>检验分为验收检验、型式试验、出厂检验三类。</w:t>
      </w:r>
    </w:p>
    <w:p w14:paraId="3FC4B413">
      <w:pPr>
        <w:pStyle w:val="41"/>
      </w:pPr>
      <w:r>
        <w:rPr>
          <w:rFonts w:hint="eastAsia"/>
        </w:rPr>
        <w:t>检验项目和建议顺序应符合表</w:t>
      </w:r>
      <w:r>
        <w:t>7</w:t>
      </w:r>
      <w:r>
        <w:rPr>
          <w:rFonts w:hint="eastAsia"/>
        </w:rPr>
        <w:t>的规定</w:t>
      </w:r>
      <w:r>
        <w:t>。</w:t>
      </w:r>
    </w:p>
    <w:p w14:paraId="783D16BD">
      <w:pPr>
        <w:pStyle w:val="54"/>
        <w:tabs>
          <w:tab w:val="left" w:pos="360"/>
        </w:tabs>
        <w:spacing w:before="156" w:after="156"/>
        <w:ind w:left="0"/>
      </w:pPr>
      <w:r>
        <w:rPr>
          <w:rFonts w:hint="eastAsia"/>
        </w:rPr>
        <w:t>检验项目明细表</w:t>
      </w:r>
    </w:p>
    <w:tbl>
      <w:tblPr>
        <w:tblStyle w:val="25"/>
        <w:tblW w:w="8835" w:type="dxa"/>
        <w:jc w:val="center"/>
        <w:tblLayout w:type="autofit"/>
        <w:tblCellMar>
          <w:top w:w="0" w:type="dxa"/>
          <w:left w:w="108" w:type="dxa"/>
          <w:bottom w:w="0" w:type="dxa"/>
          <w:right w:w="108" w:type="dxa"/>
        </w:tblCellMar>
      </w:tblPr>
      <w:tblGrid>
        <w:gridCol w:w="1020"/>
        <w:gridCol w:w="2710"/>
        <w:gridCol w:w="1020"/>
        <w:gridCol w:w="1020"/>
        <w:gridCol w:w="1504"/>
        <w:gridCol w:w="1561"/>
      </w:tblGrid>
      <w:tr w14:paraId="6EC432CD">
        <w:tblPrEx>
          <w:tblCellMar>
            <w:top w:w="0" w:type="dxa"/>
            <w:left w:w="108" w:type="dxa"/>
            <w:bottom w:w="0" w:type="dxa"/>
            <w:right w:w="108" w:type="dxa"/>
          </w:tblCellMar>
        </w:tblPrEx>
        <w:trPr>
          <w:trHeight w:val="284" w:hRule="atLeast"/>
          <w:tblHeader/>
          <w:jc w:val="center"/>
        </w:trPr>
        <w:tc>
          <w:tcPr>
            <w:tcW w:w="1020" w:type="dxa"/>
            <w:tcBorders>
              <w:top w:val="single" w:color="auto" w:sz="8" w:space="0"/>
              <w:left w:val="single" w:color="auto" w:sz="8" w:space="0"/>
              <w:bottom w:val="single" w:color="auto" w:sz="8" w:space="0"/>
              <w:right w:val="single" w:color="auto" w:sz="8" w:space="0"/>
            </w:tcBorders>
            <w:shd w:val="clear" w:color="auto" w:fill="auto"/>
            <w:vAlign w:val="center"/>
          </w:tcPr>
          <w:p w14:paraId="5A9E48B2">
            <w:pPr>
              <w:jc w:val="center"/>
              <w:rPr>
                <w:color w:val="000000"/>
                <w:sz w:val="18"/>
                <w:szCs w:val="18"/>
              </w:rPr>
            </w:pPr>
            <w:bookmarkStart w:id="170" w:name="_Toc129348730"/>
            <w:bookmarkEnd w:id="170"/>
            <w:r>
              <w:rPr>
                <w:rFonts w:hint="eastAsia"/>
                <w:color w:val="000000"/>
                <w:sz w:val="18"/>
                <w:szCs w:val="18"/>
              </w:rPr>
              <w:t>建议顺序</w:t>
            </w:r>
          </w:p>
        </w:tc>
        <w:tc>
          <w:tcPr>
            <w:tcW w:w="2710" w:type="dxa"/>
            <w:tcBorders>
              <w:top w:val="single" w:color="auto" w:sz="8" w:space="0"/>
              <w:left w:val="nil"/>
              <w:bottom w:val="single" w:color="auto" w:sz="8" w:space="0"/>
              <w:right w:val="single" w:color="auto" w:sz="8" w:space="0"/>
            </w:tcBorders>
            <w:shd w:val="clear" w:color="auto" w:fill="auto"/>
            <w:vAlign w:val="center"/>
          </w:tcPr>
          <w:p w14:paraId="0557AE35">
            <w:pPr>
              <w:jc w:val="center"/>
              <w:rPr>
                <w:color w:val="000000"/>
                <w:sz w:val="18"/>
                <w:szCs w:val="18"/>
              </w:rPr>
            </w:pPr>
            <w:r>
              <w:rPr>
                <w:rFonts w:hint="eastAsia"/>
                <w:color w:val="000000"/>
                <w:sz w:val="18"/>
                <w:szCs w:val="18"/>
              </w:rPr>
              <w:t>检验项目</w:t>
            </w:r>
          </w:p>
        </w:tc>
        <w:tc>
          <w:tcPr>
            <w:tcW w:w="1020" w:type="dxa"/>
            <w:tcBorders>
              <w:top w:val="single" w:color="auto" w:sz="8" w:space="0"/>
              <w:left w:val="nil"/>
              <w:bottom w:val="single" w:color="auto" w:sz="8" w:space="0"/>
              <w:right w:val="single" w:color="auto" w:sz="8" w:space="0"/>
            </w:tcBorders>
            <w:shd w:val="clear" w:color="auto" w:fill="auto"/>
            <w:vAlign w:val="center"/>
          </w:tcPr>
          <w:p w14:paraId="0FC2DD0E">
            <w:pPr>
              <w:jc w:val="center"/>
              <w:rPr>
                <w:color w:val="000000"/>
                <w:sz w:val="18"/>
                <w:szCs w:val="18"/>
              </w:rPr>
            </w:pPr>
            <w:r>
              <w:rPr>
                <w:rFonts w:hint="eastAsia"/>
                <w:color w:val="000000"/>
                <w:sz w:val="18"/>
                <w:szCs w:val="18"/>
              </w:rPr>
              <w:t>型式试验</w:t>
            </w:r>
          </w:p>
        </w:tc>
        <w:tc>
          <w:tcPr>
            <w:tcW w:w="1020" w:type="dxa"/>
            <w:tcBorders>
              <w:top w:val="single" w:color="auto" w:sz="8" w:space="0"/>
              <w:left w:val="nil"/>
              <w:bottom w:val="single" w:color="auto" w:sz="8" w:space="0"/>
              <w:right w:val="single" w:color="auto" w:sz="8" w:space="0"/>
            </w:tcBorders>
            <w:shd w:val="clear" w:color="auto" w:fill="auto"/>
            <w:vAlign w:val="center"/>
          </w:tcPr>
          <w:p w14:paraId="41A72599">
            <w:pPr>
              <w:jc w:val="center"/>
              <w:rPr>
                <w:color w:val="000000"/>
                <w:sz w:val="18"/>
                <w:szCs w:val="18"/>
              </w:rPr>
            </w:pPr>
            <w:r>
              <w:rPr>
                <w:rFonts w:hint="eastAsia"/>
                <w:color w:val="000000"/>
                <w:sz w:val="18"/>
                <w:szCs w:val="18"/>
              </w:rPr>
              <w:t>验收检验</w:t>
            </w:r>
          </w:p>
        </w:tc>
        <w:tc>
          <w:tcPr>
            <w:tcW w:w="1504" w:type="dxa"/>
            <w:tcBorders>
              <w:top w:val="single" w:color="auto" w:sz="8" w:space="0"/>
              <w:left w:val="nil"/>
              <w:bottom w:val="single" w:color="auto" w:sz="8" w:space="0"/>
              <w:right w:val="single" w:color="auto" w:sz="8" w:space="0"/>
            </w:tcBorders>
            <w:shd w:val="clear" w:color="auto" w:fill="auto"/>
            <w:vAlign w:val="center"/>
          </w:tcPr>
          <w:p w14:paraId="445A2B4F">
            <w:pPr>
              <w:jc w:val="center"/>
              <w:rPr>
                <w:color w:val="000000"/>
                <w:sz w:val="18"/>
                <w:szCs w:val="18"/>
              </w:rPr>
            </w:pPr>
            <w:r>
              <w:rPr>
                <w:rFonts w:hint="eastAsia"/>
                <w:color w:val="000000"/>
                <w:sz w:val="18"/>
                <w:szCs w:val="18"/>
              </w:rPr>
              <w:t>要求章条号</w:t>
            </w:r>
          </w:p>
        </w:tc>
        <w:tc>
          <w:tcPr>
            <w:tcW w:w="1561" w:type="dxa"/>
            <w:tcBorders>
              <w:top w:val="single" w:color="auto" w:sz="8" w:space="0"/>
              <w:left w:val="nil"/>
              <w:bottom w:val="single" w:color="auto" w:sz="8" w:space="0"/>
              <w:right w:val="single" w:color="auto" w:sz="8" w:space="0"/>
            </w:tcBorders>
            <w:shd w:val="clear" w:color="auto" w:fill="auto"/>
            <w:vAlign w:val="center"/>
          </w:tcPr>
          <w:p w14:paraId="523C4F8A">
            <w:pPr>
              <w:jc w:val="center"/>
              <w:rPr>
                <w:color w:val="000000"/>
                <w:sz w:val="18"/>
                <w:szCs w:val="18"/>
              </w:rPr>
            </w:pPr>
            <w:r>
              <w:rPr>
                <w:rFonts w:hint="eastAsia"/>
                <w:color w:val="000000"/>
                <w:sz w:val="18"/>
                <w:szCs w:val="18"/>
              </w:rPr>
              <w:t>试验方法章条号</w:t>
            </w:r>
          </w:p>
        </w:tc>
      </w:tr>
      <w:tr w14:paraId="351654A4">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77DDE239">
            <w:pPr>
              <w:jc w:val="center"/>
              <w:rPr>
                <w:color w:val="000000"/>
                <w:sz w:val="18"/>
                <w:szCs w:val="18"/>
              </w:rPr>
            </w:pPr>
            <w:r>
              <w:rPr>
                <w:rFonts w:hint="eastAsia"/>
                <w:color w:val="000000"/>
                <w:sz w:val="18"/>
                <w:szCs w:val="18"/>
              </w:rPr>
              <w:t>1</w:t>
            </w:r>
          </w:p>
        </w:tc>
        <w:tc>
          <w:tcPr>
            <w:tcW w:w="2710" w:type="dxa"/>
            <w:tcBorders>
              <w:top w:val="nil"/>
              <w:left w:val="nil"/>
              <w:bottom w:val="single" w:color="auto" w:sz="8" w:space="0"/>
              <w:right w:val="single" w:color="auto" w:sz="8" w:space="0"/>
            </w:tcBorders>
            <w:shd w:val="clear" w:color="auto" w:fill="auto"/>
            <w:vAlign w:val="center"/>
          </w:tcPr>
          <w:p w14:paraId="163C9960">
            <w:pPr>
              <w:jc w:val="center"/>
              <w:rPr>
                <w:color w:val="000000"/>
                <w:sz w:val="18"/>
                <w:szCs w:val="18"/>
              </w:rPr>
            </w:pPr>
            <w:r>
              <w:rPr>
                <w:rFonts w:hint="eastAsia"/>
                <w:color w:val="000000"/>
                <w:sz w:val="18"/>
                <w:szCs w:val="18"/>
              </w:rPr>
              <w:t>高温试验</w:t>
            </w:r>
          </w:p>
        </w:tc>
        <w:tc>
          <w:tcPr>
            <w:tcW w:w="1020" w:type="dxa"/>
            <w:tcBorders>
              <w:top w:val="nil"/>
              <w:left w:val="nil"/>
              <w:bottom w:val="single" w:color="auto" w:sz="8" w:space="0"/>
              <w:right w:val="single" w:color="auto" w:sz="8" w:space="0"/>
            </w:tcBorders>
            <w:shd w:val="clear" w:color="auto" w:fill="auto"/>
            <w:vAlign w:val="center"/>
          </w:tcPr>
          <w:p w14:paraId="2DD4A44F">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vAlign w:val="center"/>
          </w:tcPr>
          <w:p w14:paraId="51B03986">
            <w:pPr>
              <w:jc w:val="center"/>
              <w:rPr>
                <w:color w:val="000000"/>
                <w:sz w:val="18"/>
                <w:szCs w:val="18"/>
              </w:rPr>
            </w:pPr>
            <w:r>
              <w:rPr>
                <w:rFonts w:hint="eastAsia"/>
                <w:color w:val="000000"/>
                <w:sz w:val="18"/>
                <w:szCs w:val="18"/>
              </w:rPr>
              <w:t>√</w:t>
            </w:r>
          </w:p>
        </w:tc>
        <w:tc>
          <w:tcPr>
            <w:tcW w:w="1504" w:type="dxa"/>
            <w:tcBorders>
              <w:top w:val="nil"/>
              <w:left w:val="nil"/>
              <w:bottom w:val="single" w:color="auto" w:sz="8" w:space="0"/>
              <w:right w:val="single" w:color="auto" w:sz="8" w:space="0"/>
            </w:tcBorders>
            <w:shd w:val="clear" w:color="auto" w:fill="auto"/>
            <w:vAlign w:val="center"/>
          </w:tcPr>
          <w:p w14:paraId="709BA6D0">
            <w:pPr>
              <w:jc w:val="center"/>
              <w:rPr>
                <w:color w:val="000000"/>
                <w:sz w:val="18"/>
                <w:szCs w:val="18"/>
              </w:rPr>
            </w:pPr>
            <w:r>
              <w:rPr>
                <w:rFonts w:hint="eastAsia"/>
                <w:color w:val="000000"/>
                <w:sz w:val="18"/>
                <w:szCs w:val="18"/>
              </w:rPr>
              <w:t>5.1.2</w:t>
            </w:r>
          </w:p>
        </w:tc>
        <w:tc>
          <w:tcPr>
            <w:tcW w:w="1561" w:type="dxa"/>
            <w:tcBorders>
              <w:top w:val="nil"/>
              <w:left w:val="nil"/>
              <w:bottom w:val="single" w:color="auto" w:sz="8" w:space="0"/>
              <w:right w:val="single" w:color="auto" w:sz="8" w:space="0"/>
            </w:tcBorders>
            <w:shd w:val="clear" w:color="auto" w:fill="auto"/>
            <w:vAlign w:val="center"/>
          </w:tcPr>
          <w:p w14:paraId="1E5B714D">
            <w:pPr>
              <w:jc w:val="center"/>
              <w:rPr>
                <w:color w:val="000000"/>
                <w:sz w:val="18"/>
                <w:szCs w:val="18"/>
              </w:rPr>
            </w:pPr>
            <w:r>
              <w:rPr>
                <w:rFonts w:hint="eastAsia"/>
                <w:color w:val="000000"/>
                <w:sz w:val="18"/>
                <w:szCs w:val="18"/>
              </w:rPr>
              <w:t>6.2.1</w:t>
            </w:r>
          </w:p>
        </w:tc>
      </w:tr>
      <w:tr w14:paraId="1A91A362">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34B9DDDD">
            <w:pPr>
              <w:jc w:val="center"/>
              <w:rPr>
                <w:color w:val="000000"/>
                <w:sz w:val="18"/>
                <w:szCs w:val="18"/>
              </w:rPr>
            </w:pPr>
            <w:r>
              <w:rPr>
                <w:rFonts w:hint="eastAsia"/>
                <w:color w:val="000000"/>
                <w:sz w:val="18"/>
                <w:szCs w:val="18"/>
              </w:rPr>
              <w:t>2</w:t>
            </w:r>
          </w:p>
        </w:tc>
        <w:tc>
          <w:tcPr>
            <w:tcW w:w="2710" w:type="dxa"/>
            <w:tcBorders>
              <w:top w:val="nil"/>
              <w:left w:val="nil"/>
              <w:bottom w:val="single" w:color="auto" w:sz="8" w:space="0"/>
              <w:right w:val="single" w:color="auto" w:sz="8" w:space="0"/>
            </w:tcBorders>
            <w:shd w:val="clear" w:color="auto" w:fill="auto"/>
            <w:vAlign w:val="center"/>
          </w:tcPr>
          <w:p w14:paraId="5981294C">
            <w:pPr>
              <w:jc w:val="center"/>
              <w:rPr>
                <w:color w:val="000000"/>
                <w:sz w:val="18"/>
                <w:szCs w:val="18"/>
              </w:rPr>
            </w:pPr>
            <w:r>
              <w:rPr>
                <w:rFonts w:hint="eastAsia"/>
                <w:color w:val="000000"/>
                <w:sz w:val="18"/>
                <w:szCs w:val="18"/>
              </w:rPr>
              <w:t>低温试验</w:t>
            </w:r>
          </w:p>
        </w:tc>
        <w:tc>
          <w:tcPr>
            <w:tcW w:w="1020" w:type="dxa"/>
            <w:tcBorders>
              <w:top w:val="nil"/>
              <w:left w:val="nil"/>
              <w:bottom w:val="single" w:color="auto" w:sz="8" w:space="0"/>
              <w:right w:val="single" w:color="auto" w:sz="8" w:space="0"/>
            </w:tcBorders>
            <w:shd w:val="clear" w:color="auto" w:fill="auto"/>
            <w:vAlign w:val="center"/>
          </w:tcPr>
          <w:p w14:paraId="4B1A236C">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vAlign w:val="center"/>
          </w:tcPr>
          <w:p w14:paraId="44CDC5C5">
            <w:pPr>
              <w:jc w:val="center"/>
              <w:rPr>
                <w:color w:val="000000"/>
                <w:sz w:val="18"/>
                <w:szCs w:val="18"/>
              </w:rPr>
            </w:pPr>
            <w:r>
              <w:rPr>
                <w:rFonts w:hint="eastAsia"/>
                <w:color w:val="000000"/>
                <w:sz w:val="18"/>
                <w:szCs w:val="18"/>
              </w:rPr>
              <w:t>√</w:t>
            </w:r>
          </w:p>
        </w:tc>
        <w:tc>
          <w:tcPr>
            <w:tcW w:w="1504" w:type="dxa"/>
            <w:tcBorders>
              <w:top w:val="nil"/>
              <w:left w:val="nil"/>
              <w:bottom w:val="single" w:color="auto" w:sz="8" w:space="0"/>
              <w:right w:val="single" w:color="auto" w:sz="8" w:space="0"/>
            </w:tcBorders>
            <w:shd w:val="clear" w:color="auto" w:fill="auto"/>
            <w:vAlign w:val="center"/>
          </w:tcPr>
          <w:p w14:paraId="2528E0BF">
            <w:pPr>
              <w:jc w:val="center"/>
              <w:rPr>
                <w:color w:val="000000"/>
                <w:sz w:val="18"/>
                <w:szCs w:val="18"/>
              </w:rPr>
            </w:pPr>
            <w:r>
              <w:rPr>
                <w:rFonts w:hint="eastAsia"/>
                <w:color w:val="000000"/>
                <w:sz w:val="18"/>
                <w:szCs w:val="18"/>
              </w:rPr>
              <w:t>5.1.2</w:t>
            </w:r>
          </w:p>
        </w:tc>
        <w:tc>
          <w:tcPr>
            <w:tcW w:w="1561" w:type="dxa"/>
            <w:tcBorders>
              <w:top w:val="nil"/>
              <w:left w:val="nil"/>
              <w:bottom w:val="single" w:color="auto" w:sz="8" w:space="0"/>
              <w:right w:val="single" w:color="auto" w:sz="8" w:space="0"/>
            </w:tcBorders>
            <w:shd w:val="clear" w:color="auto" w:fill="auto"/>
            <w:vAlign w:val="center"/>
          </w:tcPr>
          <w:p w14:paraId="2C42D27C">
            <w:pPr>
              <w:jc w:val="center"/>
              <w:rPr>
                <w:color w:val="000000"/>
                <w:sz w:val="18"/>
                <w:szCs w:val="18"/>
              </w:rPr>
            </w:pPr>
            <w:r>
              <w:rPr>
                <w:rFonts w:hint="eastAsia"/>
                <w:color w:val="000000"/>
                <w:sz w:val="18"/>
                <w:szCs w:val="18"/>
              </w:rPr>
              <w:t>6.2.2</w:t>
            </w:r>
          </w:p>
        </w:tc>
      </w:tr>
      <w:tr w14:paraId="25DF8819">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6035B340">
            <w:pPr>
              <w:jc w:val="center"/>
              <w:rPr>
                <w:color w:val="000000"/>
                <w:sz w:val="18"/>
                <w:szCs w:val="18"/>
              </w:rPr>
            </w:pPr>
            <w:r>
              <w:rPr>
                <w:rFonts w:hint="eastAsia"/>
                <w:color w:val="000000"/>
                <w:sz w:val="18"/>
                <w:szCs w:val="18"/>
              </w:rPr>
              <w:t>3</w:t>
            </w:r>
          </w:p>
        </w:tc>
        <w:tc>
          <w:tcPr>
            <w:tcW w:w="2710" w:type="dxa"/>
            <w:tcBorders>
              <w:top w:val="nil"/>
              <w:left w:val="nil"/>
              <w:bottom w:val="single" w:color="auto" w:sz="8" w:space="0"/>
              <w:right w:val="single" w:color="auto" w:sz="8" w:space="0"/>
            </w:tcBorders>
            <w:shd w:val="clear" w:color="auto" w:fill="auto"/>
            <w:vAlign w:val="center"/>
          </w:tcPr>
          <w:p w14:paraId="072A977D">
            <w:pPr>
              <w:jc w:val="center"/>
              <w:rPr>
                <w:color w:val="000000"/>
                <w:sz w:val="18"/>
                <w:szCs w:val="18"/>
              </w:rPr>
            </w:pPr>
            <w:r>
              <w:rPr>
                <w:rFonts w:hint="eastAsia"/>
                <w:color w:val="000000"/>
                <w:sz w:val="18"/>
                <w:szCs w:val="18"/>
              </w:rPr>
              <w:t>湿热</w:t>
            </w:r>
          </w:p>
        </w:tc>
        <w:tc>
          <w:tcPr>
            <w:tcW w:w="1020" w:type="dxa"/>
            <w:tcBorders>
              <w:top w:val="nil"/>
              <w:left w:val="nil"/>
              <w:bottom w:val="single" w:color="auto" w:sz="8" w:space="0"/>
              <w:right w:val="single" w:color="auto" w:sz="8" w:space="0"/>
            </w:tcBorders>
            <w:shd w:val="clear" w:color="auto" w:fill="auto"/>
            <w:vAlign w:val="center"/>
          </w:tcPr>
          <w:p w14:paraId="080245D8">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vAlign w:val="center"/>
          </w:tcPr>
          <w:p w14:paraId="5A3E221E">
            <w:pPr>
              <w:jc w:val="center"/>
              <w:rPr>
                <w:color w:val="000000"/>
                <w:sz w:val="18"/>
                <w:szCs w:val="18"/>
              </w:rPr>
            </w:pPr>
            <w:r>
              <w:rPr>
                <w:rFonts w:hint="eastAsia"/>
                <w:color w:val="000000"/>
                <w:sz w:val="18"/>
                <w:szCs w:val="18"/>
              </w:rPr>
              <w:t>√</w:t>
            </w:r>
          </w:p>
        </w:tc>
        <w:tc>
          <w:tcPr>
            <w:tcW w:w="1504" w:type="dxa"/>
            <w:tcBorders>
              <w:top w:val="nil"/>
              <w:left w:val="nil"/>
              <w:bottom w:val="single" w:color="auto" w:sz="8" w:space="0"/>
              <w:right w:val="single" w:color="auto" w:sz="8" w:space="0"/>
            </w:tcBorders>
            <w:shd w:val="clear" w:color="auto" w:fill="auto"/>
            <w:vAlign w:val="center"/>
          </w:tcPr>
          <w:p w14:paraId="1CAFD103">
            <w:pPr>
              <w:jc w:val="center"/>
              <w:rPr>
                <w:color w:val="000000"/>
                <w:sz w:val="18"/>
                <w:szCs w:val="18"/>
              </w:rPr>
            </w:pPr>
            <w:r>
              <w:rPr>
                <w:rFonts w:hint="eastAsia"/>
                <w:color w:val="000000"/>
                <w:sz w:val="18"/>
                <w:szCs w:val="18"/>
              </w:rPr>
              <w:t>5.1.2</w:t>
            </w:r>
          </w:p>
        </w:tc>
        <w:tc>
          <w:tcPr>
            <w:tcW w:w="1561" w:type="dxa"/>
            <w:tcBorders>
              <w:top w:val="nil"/>
              <w:left w:val="nil"/>
              <w:bottom w:val="single" w:color="auto" w:sz="8" w:space="0"/>
              <w:right w:val="single" w:color="auto" w:sz="8" w:space="0"/>
            </w:tcBorders>
            <w:shd w:val="clear" w:color="auto" w:fill="auto"/>
            <w:vAlign w:val="center"/>
          </w:tcPr>
          <w:p w14:paraId="1FF21A16">
            <w:pPr>
              <w:jc w:val="center"/>
              <w:rPr>
                <w:color w:val="000000"/>
                <w:sz w:val="18"/>
                <w:szCs w:val="18"/>
              </w:rPr>
            </w:pPr>
            <w:r>
              <w:rPr>
                <w:rFonts w:hint="eastAsia"/>
                <w:color w:val="000000"/>
                <w:sz w:val="18"/>
                <w:szCs w:val="18"/>
              </w:rPr>
              <w:t>6.2.3</w:t>
            </w:r>
          </w:p>
        </w:tc>
      </w:tr>
      <w:tr w14:paraId="69C68306">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0B74F336">
            <w:pPr>
              <w:jc w:val="center"/>
              <w:rPr>
                <w:color w:val="000000"/>
                <w:sz w:val="18"/>
                <w:szCs w:val="18"/>
              </w:rPr>
            </w:pPr>
            <w:r>
              <w:rPr>
                <w:rFonts w:hint="eastAsia"/>
                <w:color w:val="000000"/>
                <w:sz w:val="18"/>
                <w:szCs w:val="18"/>
              </w:rPr>
              <w:t>4</w:t>
            </w:r>
          </w:p>
        </w:tc>
        <w:tc>
          <w:tcPr>
            <w:tcW w:w="2710" w:type="dxa"/>
            <w:tcBorders>
              <w:top w:val="nil"/>
              <w:left w:val="nil"/>
              <w:bottom w:val="single" w:color="auto" w:sz="8" w:space="0"/>
              <w:right w:val="single" w:color="auto" w:sz="8" w:space="0"/>
            </w:tcBorders>
            <w:shd w:val="clear" w:color="auto" w:fill="auto"/>
            <w:vAlign w:val="center"/>
          </w:tcPr>
          <w:p w14:paraId="20A32713">
            <w:pPr>
              <w:jc w:val="center"/>
              <w:rPr>
                <w:color w:val="000000"/>
                <w:sz w:val="18"/>
                <w:szCs w:val="18"/>
              </w:rPr>
            </w:pPr>
            <w:r>
              <w:rPr>
                <w:rFonts w:hint="eastAsia"/>
                <w:color w:val="000000"/>
                <w:sz w:val="18"/>
                <w:szCs w:val="18"/>
              </w:rPr>
              <w:t>电源</w:t>
            </w:r>
          </w:p>
        </w:tc>
        <w:tc>
          <w:tcPr>
            <w:tcW w:w="1020" w:type="dxa"/>
            <w:tcBorders>
              <w:top w:val="nil"/>
              <w:left w:val="nil"/>
              <w:bottom w:val="single" w:color="auto" w:sz="8" w:space="0"/>
              <w:right w:val="single" w:color="auto" w:sz="8" w:space="0"/>
            </w:tcBorders>
            <w:shd w:val="clear" w:color="auto" w:fill="auto"/>
            <w:vAlign w:val="center"/>
          </w:tcPr>
          <w:p w14:paraId="2E1ED02E">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vAlign w:val="center"/>
          </w:tcPr>
          <w:p w14:paraId="6F254B1A">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w:t>
            </w:r>
          </w:p>
        </w:tc>
        <w:tc>
          <w:tcPr>
            <w:tcW w:w="1504" w:type="dxa"/>
            <w:tcBorders>
              <w:top w:val="nil"/>
              <w:left w:val="nil"/>
              <w:bottom w:val="single" w:color="auto" w:sz="8" w:space="0"/>
              <w:right w:val="single" w:color="auto" w:sz="8" w:space="0"/>
            </w:tcBorders>
            <w:shd w:val="clear" w:color="auto" w:fill="auto"/>
            <w:vAlign w:val="center"/>
          </w:tcPr>
          <w:p w14:paraId="04BF0ED9">
            <w:pPr>
              <w:jc w:val="center"/>
              <w:rPr>
                <w:color w:val="000000"/>
                <w:sz w:val="18"/>
                <w:szCs w:val="18"/>
              </w:rPr>
            </w:pPr>
            <w:r>
              <w:rPr>
                <w:rFonts w:hint="eastAsia"/>
                <w:color w:val="000000"/>
                <w:sz w:val="18"/>
                <w:szCs w:val="18"/>
              </w:rPr>
              <w:t>5.2</w:t>
            </w:r>
          </w:p>
        </w:tc>
        <w:tc>
          <w:tcPr>
            <w:tcW w:w="1561" w:type="dxa"/>
            <w:tcBorders>
              <w:top w:val="nil"/>
              <w:left w:val="nil"/>
              <w:bottom w:val="single" w:color="auto" w:sz="8" w:space="0"/>
              <w:right w:val="single" w:color="auto" w:sz="8" w:space="0"/>
            </w:tcBorders>
            <w:shd w:val="clear" w:color="auto" w:fill="auto"/>
            <w:vAlign w:val="center"/>
          </w:tcPr>
          <w:p w14:paraId="30A94B9D">
            <w:pPr>
              <w:jc w:val="center"/>
              <w:rPr>
                <w:color w:val="000000"/>
                <w:sz w:val="18"/>
                <w:szCs w:val="18"/>
              </w:rPr>
            </w:pPr>
            <w:r>
              <w:rPr>
                <w:rFonts w:hint="eastAsia"/>
                <w:color w:val="000000"/>
                <w:sz w:val="18"/>
                <w:szCs w:val="18"/>
              </w:rPr>
              <w:t>6.3.1</w:t>
            </w:r>
          </w:p>
        </w:tc>
      </w:tr>
      <w:tr w14:paraId="3FFE5B63">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7F9D77D5">
            <w:pPr>
              <w:jc w:val="center"/>
              <w:rPr>
                <w:color w:val="000000"/>
                <w:sz w:val="18"/>
                <w:szCs w:val="18"/>
              </w:rPr>
            </w:pPr>
            <w:r>
              <w:rPr>
                <w:rFonts w:hint="eastAsia"/>
                <w:color w:val="000000"/>
                <w:sz w:val="18"/>
                <w:szCs w:val="18"/>
              </w:rPr>
              <w:t>5</w:t>
            </w:r>
          </w:p>
        </w:tc>
        <w:tc>
          <w:tcPr>
            <w:tcW w:w="2710" w:type="dxa"/>
            <w:tcBorders>
              <w:top w:val="nil"/>
              <w:left w:val="nil"/>
              <w:bottom w:val="single" w:color="auto" w:sz="8" w:space="0"/>
              <w:right w:val="single" w:color="auto" w:sz="8" w:space="0"/>
            </w:tcBorders>
            <w:shd w:val="clear" w:color="auto" w:fill="auto"/>
            <w:vAlign w:val="center"/>
          </w:tcPr>
          <w:p w14:paraId="570B33D8">
            <w:pPr>
              <w:jc w:val="center"/>
              <w:rPr>
                <w:color w:val="000000"/>
                <w:sz w:val="18"/>
                <w:szCs w:val="18"/>
              </w:rPr>
            </w:pPr>
            <w:r>
              <w:rPr>
                <w:rFonts w:hint="eastAsia"/>
                <w:color w:val="000000"/>
                <w:sz w:val="18"/>
                <w:szCs w:val="18"/>
              </w:rPr>
              <w:t>功率消耗</w:t>
            </w:r>
          </w:p>
        </w:tc>
        <w:tc>
          <w:tcPr>
            <w:tcW w:w="1020" w:type="dxa"/>
            <w:tcBorders>
              <w:top w:val="nil"/>
              <w:left w:val="nil"/>
              <w:bottom w:val="single" w:color="auto" w:sz="8" w:space="0"/>
              <w:right w:val="single" w:color="auto" w:sz="8" w:space="0"/>
            </w:tcBorders>
            <w:shd w:val="clear" w:color="auto" w:fill="auto"/>
            <w:vAlign w:val="center"/>
          </w:tcPr>
          <w:p w14:paraId="63D0BCE9">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vAlign w:val="center"/>
          </w:tcPr>
          <w:p w14:paraId="59EC0F82">
            <w:pPr>
              <w:jc w:val="center"/>
              <w:rPr>
                <w:color w:val="000000"/>
                <w:sz w:val="18"/>
                <w:szCs w:val="18"/>
              </w:rPr>
            </w:pPr>
            <w:r>
              <w:rPr>
                <w:rFonts w:hint="eastAsia"/>
                <w:color w:val="000000"/>
                <w:sz w:val="18"/>
                <w:szCs w:val="18"/>
              </w:rPr>
              <w:t>√</w:t>
            </w:r>
          </w:p>
        </w:tc>
        <w:tc>
          <w:tcPr>
            <w:tcW w:w="1504" w:type="dxa"/>
            <w:tcBorders>
              <w:top w:val="nil"/>
              <w:left w:val="nil"/>
              <w:bottom w:val="single" w:color="auto" w:sz="8" w:space="0"/>
              <w:right w:val="single" w:color="auto" w:sz="8" w:space="0"/>
            </w:tcBorders>
            <w:shd w:val="clear" w:color="auto" w:fill="auto"/>
            <w:vAlign w:val="center"/>
          </w:tcPr>
          <w:p w14:paraId="501BD866">
            <w:pPr>
              <w:jc w:val="center"/>
              <w:rPr>
                <w:color w:val="000000"/>
                <w:sz w:val="18"/>
                <w:szCs w:val="18"/>
              </w:rPr>
            </w:pPr>
            <w:r>
              <w:rPr>
                <w:rFonts w:hint="eastAsia"/>
                <w:color w:val="000000"/>
                <w:sz w:val="18"/>
                <w:szCs w:val="18"/>
              </w:rPr>
              <w:t>5.2</w:t>
            </w:r>
          </w:p>
        </w:tc>
        <w:tc>
          <w:tcPr>
            <w:tcW w:w="1561" w:type="dxa"/>
            <w:tcBorders>
              <w:top w:val="nil"/>
              <w:left w:val="nil"/>
              <w:bottom w:val="single" w:color="auto" w:sz="8" w:space="0"/>
              <w:right w:val="single" w:color="auto" w:sz="8" w:space="0"/>
            </w:tcBorders>
            <w:shd w:val="clear" w:color="auto" w:fill="auto"/>
            <w:vAlign w:val="center"/>
          </w:tcPr>
          <w:p w14:paraId="5749A9A7">
            <w:pPr>
              <w:jc w:val="center"/>
              <w:rPr>
                <w:color w:val="000000"/>
                <w:sz w:val="18"/>
                <w:szCs w:val="18"/>
              </w:rPr>
            </w:pPr>
            <w:r>
              <w:rPr>
                <w:rFonts w:hint="eastAsia"/>
                <w:color w:val="000000"/>
                <w:sz w:val="18"/>
                <w:szCs w:val="18"/>
              </w:rPr>
              <w:t>6.3.2</w:t>
            </w:r>
          </w:p>
        </w:tc>
      </w:tr>
      <w:tr w14:paraId="42203C9E">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1C04B823">
            <w:pPr>
              <w:jc w:val="center"/>
              <w:rPr>
                <w:color w:val="000000"/>
                <w:sz w:val="18"/>
                <w:szCs w:val="18"/>
              </w:rPr>
            </w:pPr>
            <w:r>
              <w:rPr>
                <w:rFonts w:hint="eastAsia"/>
                <w:color w:val="000000"/>
                <w:sz w:val="18"/>
                <w:szCs w:val="18"/>
              </w:rPr>
              <w:t>6</w:t>
            </w:r>
          </w:p>
        </w:tc>
        <w:tc>
          <w:tcPr>
            <w:tcW w:w="2710" w:type="dxa"/>
            <w:tcBorders>
              <w:top w:val="nil"/>
              <w:left w:val="nil"/>
              <w:bottom w:val="single" w:color="auto" w:sz="8" w:space="0"/>
              <w:right w:val="single" w:color="auto" w:sz="8" w:space="0"/>
            </w:tcBorders>
            <w:shd w:val="clear" w:color="auto" w:fill="auto"/>
            <w:vAlign w:val="center"/>
          </w:tcPr>
          <w:p w14:paraId="7C18E204">
            <w:pPr>
              <w:jc w:val="center"/>
              <w:rPr>
                <w:color w:val="000000"/>
                <w:sz w:val="18"/>
                <w:szCs w:val="18"/>
              </w:rPr>
            </w:pPr>
            <w:r>
              <w:rPr>
                <w:rFonts w:hint="eastAsia"/>
                <w:color w:val="000000"/>
                <w:sz w:val="18"/>
                <w:szCs w:val="18"/>
              </w:rPr>
              <w:t>外观结构</w:t>
            </w:r>
          </w:p>
        </w:tc>
        <w:tc>
          <w:tcPr>
            <w:tcW w:w="1020" w:type="dxa"/>
            <w:tcBorders>
              <w:top w:val="nil"/>
              <w:left w:val="nil"/>
              <w:bottom w:val="single" w:color="auto" w:sz="8" w:space="0"/>
              <w:right w:val="single" w:color="auto" w:sz="8" w:space="0"/>
            </w:tcBorders>
            <w:shd w:val="clear" w:color="auto" w:fill="auto"/>
            <w:vAlign w:val="center"/>
          </w:tcPr>
          <w:p w14:paraId="61A3A258">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vAlign w:val="center"/>
          </w:tcPr>
          <w:p w14:paraId="5D980393">
            <w:pPr>
              <w:jc w:val="center"/>
              <w:rPr>
                <w:color w:val="000000"/>
                <w:sz w:val="18"/>
                <w:szCs w:val="18"/>
              </w:rPr>
            </w:pPr>
            <w:r>
              <w:rPr>
                <w:rFonts w:hint="eastAsia"/>
                <w:color w:val="000000"/>
                <w:sz w:val="18"/>
                <w:szCs w:val="18"/>
              </w:rPr>
              <w:t>√</w:t>
            </w:r>
          </w:p>
        </w:tc>
        <w:tc>
          <w:tcPr>
            <w:tcW w:w="1504" w:type="dxa"/>
            <w:tcBorders>
              <w:top w:val="nil"/>
              <w:left w:val="nil"/>
              <w:bottom w:val="single" w:color="auto" w:sz="8" w:space="0"/>
              <w:right w:val="single" w:color="auto" w:sz="8" w:space="0"/>
            </w:tcBorders>
            <w:shd w:val="clear" w:color="auto" w:fill="auto"/>
            <w:vAlign w:val="center"/>
          </w:tcPr>
          <w:p w14:paraId="2BCE170A">
            <w:pPr>
              <w:jc w:val="center"/>
              <w:rPr>
                <w:color w:val="000000"/>
                <w:sz w:val="18"/>
                <w:szCs w:val="18"/>
              </w:rPr>
            </w:pPr>
            <w:r>
              <w:rPr>
                <w:rFonts w:hint="eastAsia"/>
                <w:color w:val="000000"/>
                <w:sz w:val="18"/>
                <w:szCs w:val="18"/>
              </w:rPr>
              <w:t>5.3.1</w:t>
            </w:r>
          </w:p>
        </w:tc>
        <w:tc>
          <w:tcPr>
            <w:tcW w:w="1561" w:type="dxa"/>
            <w:tcBorders>
              <w:top w:val="nil"/>
              <w:left w:val="nil"/>
              <w:bottom w:val="single" w:color="auto" w:sz="8" w:space="0"/>
              <w:right w:val="single" w:color="auto" w:sz="8" w:space="0"/>
            </w:tcBorders>
            <w:shd w:val="clear" w:color="auto" w:fill="auto"/>
            <w:vAlign w:val="center"/>
          </w:tcPr>
          <w:p w14:paraId="1C569F0B">
            <w:pPr>
              <w:jc w:val="center"/>
              <w:rPr>
                <w:color w:val="000000"/>
                <w:sz w:val="18"/>
                <w:szCs w:val="18"/>
              </w:rPr>
            </w:pPr>
            <w:r>
              <w:rPr>
                <w:rFonts w:hint="eastAsia"/>
                <w:color w:val="000000"/>
                <w:sz w:val="18"/>
                <w:szCs w:val="18"/>
              </w:rPr>
              <w:t>6.4.1</w:t>
            </w:r>
          </w:p>
        </w:tc>
      </w:tr>
      <w:tr w14:paraId="1620A259">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69C24825">
            <w:pPr>
              <w:jc w:val="center"/>
              <w:rPr>
                <w:color w:val="000000"/>
                <w:sz w:val="18"/>
                <w:szCs w:val="18"/>
              </w:rPr>
            </w:pPr>
            <w:r>
              <w:rPr>
                <w:rFonts w:hint="eastAsia"/>
                <w:color w:val="000000"/>
                <w:sz w:val="18"/>
                <w:szCs w:val="18"/>
              </w:rPr>
              <w:t>7</w:t>
            </w:r>
          </w:p>
        </w:tc>
        <w:tc>
          <w:tcPr>
            <w:tcW w:w="2710" w:type="dxa"/>
            <w:tcBorders>
              <w:top w:val="nil"/>
              <w:left w:val="nil"/>
              <w:bottom w:val="single" w:color="auto" w:sz="8" w:space="0"/>
              <w:right w:val="single" w:color="auto" w:sz="8" w:space="0"/>
            </w:tcBorders>
            <w:shd w:val="clear" w:color="auto" w:fill="auto"/>
            <w:vAlign w:val="center"/>
          </w:tcPr>
          <w:p w14:paraId="5D56AFF9">
            <w:pPr>
              <w:jc w:val="center"/>
              <w:rPr>
                <w:color w:val="000000"/>
                <w:sz w:val="18"/>
                <w:szCs w:val="18"/>
              </w:rPr>
            </w:pPr>
            <w:r>
              <w:rPr>
                <w:rFonts w:hint="eastAsia"/>
                <w:color w:val="000000"/>
                <w:sz w:val="18"/>
                <w:szCs w:val="18"/>
              </w:rPr>
              <w:t>外壳防护性能</w:t>
            </w:r>
          </w:p>
        </w:tc>
        <w:tc>
          <w:tcPr>
            <w:tcW w:w="1020" w:type="dxa"/>
            <w:tcBorders>
              <w:top w:val="nil"/>
              <w:left w:val="nil"/>
              <w:bottom w:val="single" w:color="auto" w:sz="8" w:space="0"/>
              <w:right w:val="single" w:color="auto" w:sz="8" w:space="0"/>
            </w:tcBorders>
            <w:shd w:val="clear" w:color="auto" w:fill="auto"/>
            <w:vAlign w:val="center"/>
          </w:tcPr>
          <w:p w14:paraId="61A9B8F3">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vAlign w:val="center"/>
          </w:tcPr>
          <w:p w14:paraId="472925C8">
            <w:pPr>
              <w:jc w:val="center"/>
              <w:rPr>
                <w:color w:val="000000"/>
                <w:sz w:val="18"/>
                <w:szCs w:val="18"/>
              </w:rPr>
            </w:pPr>
            <w:r>
              <w:rPr>
                <w:rFonts w:hint="eastAsia"/>
                <w:color w:val="000000"/>
                <w:sz w:val="18"/>
                <w:szCs w:val="18"/>
              </w:rPr>
              <w:t>√</w:t>
            </w:r>
          </w:p>
        </w:tc>
        <w:tc>
          <w:tcPr>
            <w:tcW w:w="1504" w:type="dxa"/>
            <w:tcBorders>
              <w:top w:val="nil"/>
              <w:left w:val="nil"/>
              <w:bottom w:val="single" w:color="auto" w:sz="8" w:space="0"/>
              <w:right w:val="single" w:color="auto" w:sz="8" w:space="0"/>
            </w:tcBorders>
            <w:shd w:val="clear" w:color="auto" w:fill="auto"/>
            <w:vAlign w:val="center"/>
          </w:tcPr>
          <w:p w14:paraId="109B4BE4">
            <w:pPr>
              <w:jc w:val="center"/>
              <w:rPr>
                <w:color w:val="000000"/>
                <w:sz w:val="18"/>
                <w:szCs w:val="18"/>
              </w:rPr>
            </w:pPr>
            <w:r>
              <w:rPr>
                <w:rFonts w:hint="eastAsia"/>
                <w:color w:val="000000"/>
                <w:sz w:val="18"/>
                <w:szCs w:val="18"/>
              </w:rPr>
              <w:t>5.3.2</w:t>
            </w:r>
          </w:p>
        </w:tc>
        <w:tc>
          <w:tcPr>
            <w:tcW w:w="1561" w:type="dxa"/>
            <w:tcBorders>
              <w:top w:val="nil"/>
              <w:left w:val="nil"/>
              <w:bottom w:val="single" w:color="auto" w:sz="8" w:space="0"/>
              <w:right w:val="single" w:color="auto" w:sz="8" w:space="0"/>
            </w:tcBorders>
            <w:shd w:val="clear" w:color="auto" w:fill="auto"/>
            <w:vAlign w:val="center"/>
          </w:tcPr>
          <w:p w14:paraId="30BB2253">
            <w:pPr>
              <w:jc w:val="center"/>
              <w:rPr>
                <w:color w:val="000000"/>
                <w:sz w:val="18"/>
                <w:szCs w:val="18"/>
              </w:rPr>
            </w:pPr>
            <w:r>
              <w:rPr>
                <w:rFonts w:hint="eastAsia"/>
                <w:color w:val="000000"/>
                <w:sz w:val="18"/>
                <w:szCs w:val="18"/>
              </w:rPr>
              <w:t>6.4.2</w:t>
            </w:r>
          </w:p>
        </w:tc>
      </w:tr>
      <w:tr w14:paraId="7D80FE4D">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7D00DBC9">
            <w:pPr>
              <w:jc w:val="center"/>
              <w:rPr>
                <w:color w:val="000000"/>
                <w:sz w:val="18"/>
                <w:szCs w:val="18"/>
              </w:rPr>
            </w:pPr>
            <w:r>
              <w:rPr>
                <w:rFonts w:hint="eastAsia"/>
                <w:color w:val="000000"/>
                <w:sz w:val="18"/>
                <w:szCs w:val="18"/>
              </w:rPr>
              <w:t>8</w:t>
            </w:r>
          </w:p>
        </w:tc>
        <w:tc>
          <w:tcPr>
            <w:tcW w:w="2710" w:type="dxa"/>
            <w:tcBorders>
              <w:top w:val="nil"/>
              <w:left w:val="nil"/>
              <w:bottom w:val="single" w:color="auto" w:sz="8" w:space="0"/>
              <w:right w:val="single" w:color="auto" w:sz="8" w:space="0"/>
            </w:tcBorders>
            <w:shd w:val="clear" w:color="auto" w:fill="auto"/>
            <w:vAlign w:val="center"/>
          </w:tcPr>
          <w:p w14:paraId="24FCBBB6">
            <w:pPr>
              <w:jc w:val="center"/>
              <w:rPr>
                <w:color w:val="000000"/>
                <w:sz w:val="18"/>
                <w:szCs w:val="18"/>
              </w:rPr>
            </w:pPr>
            <w:r>
              <w:rPr>
                <w:rFonts w:hint="eastAsia"/>
                <w:color w:val="000000"/>
                <w:sz w:val="18"/>
                <w:szCs w:val="18"/>
              </w:rPr>
              <w:t>耐热阻燃试验</w:t>
            </w:r>
          </w:p>
        </w:tc>
        <w:tc>
          <w:tcPr>
            <w:tcW w:w="1020" w:type="dxa"/>
            <w:tcBorders>
              <w:top w:val="nil"/>
              <w:left w:val="nil"/>
              <w:bottom w:val="single" w:color="auto" w:sz="8" w:space="0"/>
              <w:right w:val="single" w:color="auto" w:sz="8" w:space="0"/>
            </w:tcBorders>
            <w:shd w:val="clear" w:color="auto" w:fill="auto"/>
            <w:vAlign w:val="center"/>
          </w:tcPr>
          <w:p w14:paraId="0EB9FB2E">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vAlign w:val="center"/>
          </w:tcPr>
          <w:p w14:paraId="0FE5C0D2">
            <w:pPr>
              <w:jc w:val="center"/>
              <w:rPr>
                <w:color w:val="000000"/>
                <w:sz w:val="18"/>
                <w:szCs w:val="18"/>
              </w:rPr>
            </w:pPr>
            <w:r>
              <w:rPr>
                <w:rFonts w:hint="eastAsia"/>
                <w:color w:val="000000"/>
                <w:sz w:val="18"/>
                <w:szCs w:val="18"/>
              </w:rPr>
              <w:t>√</w:t>
            </w:r>
          </w:p>
        </w:tc>
        <w:tc>
          <w:tcPr>
            <w:tcW w:w="1504" w:type="dxa"/>
            <w:tcBorders>
              <w:top w:val="nil"/>
              <w:left w:val="nil"/>
              <w:bottom w:val="single" w:color="auto" w:sz="8" w:space="0"/>
              <w:right w:val="single" w:color="auto" w:sz="8" w:space="0"/>
            </w:tcBorders>
            <w:shd w:val="clear" w:color="auto" w:fill="auto"/>
            <w:vAlign w:val="center"/>
          </w:tcPr>
          <w:p w14:paraId="7C22F919">
            <w:pPr>
              <w:jc w:val="center"/>
              <w:rPr>
                <w:color w:val="000000"/>
                <w:sz w:val="18"/>
                <w:szCs w:val="18"/>
              </w:rPr>
            </w:pPr>
            <w:r>
              <w:rPr>
                <w:rFonts w:hint="eastAsia"/>
                <w:color w:val="000000"/>
                <w:sz w:val="18"/>
                <w:szCs w:val="18"/>
              </w:rPr>
              <w:t>5.3.3</w:t>
            </w:r>
          </w:p>
        </w:tc>
        <w:tc>
          <w:tcPr>
            <w:tcW w:w="1561" w:type="dxa"/>
            <w:tcBorders>
              <w:top w:val="nil"/>
              <w:left w:val="nil"/>
              <w:bottom w:val="single" w:color="auto" w:sz="8" w:space="0"/>
              <w:right w:val="single" w:color="auto" w:sz="8" w:space="0"/>
            </w:tcBorders>
            <w:shd w:val="clear" w:color="auto" w:fill="auto"/>
            <w:vAlign w:val="center"/>
          </w:tcPr>
          <w:p w14:paraId="64BB38DA">
            <w:pPr>
              <w:jc w:val="center"/>
              <w:rPr>
                <w:color w:val="000000"/>
                <w:sz w:val="18"/>
                <w:szCs w:val="18"/>
              </w:rPr>
            </w:pPr>
            <w:r>
              <w:rPr>
                <w:rFonts w:hint="eastAsia"/>
                <w:color w:val="000000"/>
                <w:sz w:val="18"/>
                <w:szCs w:val="18"/>
              </w:rPr>
              <w:t>6.4.3</w:t>
            </w:r>
          </w:p>
        </w:tc>
      </w:tr>
      <w:tr w14:paraId="1F3485D1">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58A8BA85">
            <w:pPr>
              <w:jc w:val="center"/>
              <w:rPr>
                <w:color w:val="000000"/>
                <w:sz w:val="18"/>
                <w:szCs w:val="18"/>
              </w:rPr>
            </w:pPr>
            <w:r>
              <w:rPr>
                <w:rFonts w:hint="eastAsia"/>
                <w:color w:val="000000"/>
                <w:sz w:val="18"/>
                <w:szCs w:val="18"/>
              </w:rPr>
              <w:t>9</w:t>
            </w:r>
          </w:p>
        </w:tc>
        <w:tc>
          <w:tcPr>
            <w:tcW w:w="2710" w:type="dxa"/>
            <w:tcBorders>
              <w:top w:val="nil"/>
              <w:left w:val="nil"/>
              <w:bottom w:val="single" w:color="auto" w:sz="8" w:space="0"/>
              <w:right w:val="single" w:color="auto" w:sz="8" w:space="0"/>
            </w:tcBorders>
            <w:shd w:val="clear" w:color="auto" w:fill="auto"/>
            <w:vAlign w:val="center"/>
          </w:tcPr>
          <w:p w14:paraId="5C08658B">
            <w:pPr>
              <w:jc w:val="center"/>
              <w:rPr>
                <w:color w:val="000000"/>
                <w:sz w:val="18"/>
                <w:szCs w:val="18"/>
              </w:rPr>
            </w:pPr>
            <w:r>
              <w:rPr>
                <w:rFonts w:hint="eastAsia"/>
                <w:color w:val="000000"/>
                <w:sz w:val="18"/>
                <w:szCs w:val="18"/>
              </w:rPr>
              <w:t>绝缘强度</w:t>
            </w:r>
          </w:p>
        </w:tc>
        <w:tc>
          <w:tcPr>
            <w:tcW w:w="1020" w:type="dxa"/>
            <w:tcBorders>
              <w:top w:val="nil"/>
              <w:left w:val="nil"/>
              <w:bottom w:val="single" w:color="auto" w:sz="8" w:space="0"/>
              <w:right w:val="single" w:color="auto" w:sz="8" w:space="0"/>
            </w:tcBorders>
            <w:shd w:val="clear" w:color="auto" w:fill="auto"/>
            <w:vAlign w:val="center"/>
          </w:tcPr>
          <w:p w14:paraId="492C6E8C">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vAlign w:val="center"/>
          </w:tcPr>
          <w:p w14:paraId="4899BDA9">
            <w:pPr>
              <w:jc w:val="center"/>
              <w:rPr>
                <w:color w:val="000000"/>
                <w:sz w:val="18"/>
                <w:szCs w:val="18"/>
              </w:rPr>
            </w:pPr>
            <w:r>
              <w:rPr>
                <w:rFonts w:hint="eastAsia"/>
                <w:color w:val="000000"/>
                <w:sz w:val="18"/>
                <w:szCs w:val="18"/>
              </w:rPr>
              <w:t>√</w:t>
            </w:r>
          </w:p>
        </w:tc>
        <w:tc>
          <w:tcPr>
            <w:tcW w:w="1504" w:type="dxa"/>
            <w:tcBorders>
              <w:top w:val="nil"/>
              <w:left w:val="nil"/>
              <w:bottom w:val="single" w:color="auto" w:sz="8" w:space="0"/>
              <w:right w:val="single" w:color="auto" w:sz="8" w:space="0"/>
            </w:tcBorders>
            <w:shd w:val="clear" w:color="auto" w:fill="auto"/>
            <w:vAlign w:val="center"/>
          </w:tcPr>
          <w:p w14:paraId="4D0DDD34">
            <w:pPr>
              <w:jc w:val="center"/>
              <w:rPr>
                <w:color w:val="000000"/>
                <w:sz w:val="18"/>
                <w:szCs w:val="18"/>
              </w:rPr>
            </w:pPr>
            <w:r>
              <w:rPr>
                <w:rFonts w:hint="eastAsia"/>
                <w:color w:val="000000"/>
                <w:sz w:val="18"/>
                <w:szCs w:val="18"/>
              </w:rPr>
              <w:t>5.4.1</w:t>
            </w:r>
          </w:p>
        </w:tc>
        <w:tc>
          <w:tcPr>
            <w:tcW w:w="1561" w:type="dxa"/>
            <w:tcBorders>
              <w:top w:val="nil"/>
              <w:left w:val="nil"/>
              <w:bottom w:val="single" w:color="auto" w:sz="8" w:space="0"/>
              <w:right w:val="single" w:color="auto" w:sz="8" w:space="0"/>
            </w:tcBorders>
            <w:shd w:val="clear" w:color="auto" w:fill="auto"/>
            <w:vAlign w:val="center"/>
          </w:tcPr>
          <w:p w14:paraId="27EBE171">
            <w:pPr>
              <w:jc w:val="center"/>
              <w:rPr>
                <w:color w:val="000000"/>
                <w:sz w:val="18"/>
                <w:szCs w:val="18"/>
              </w:rPr>
            </w:pPr>
            <w:r>
              <w:rPr>
                <w:rFonts w:hint="eastAsia"/>
                <w:color w:val="000000"/>
                <w:sz w:val="18"/>
                <w:szCs w:val="18"/>
              </w:rPr>
              <w:t>6.5.1</w:t>
            </w:r>
          </w:p>
        </w:tc>
      </w:tr>
      <w:tr w14:paraId="4CF3508F">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3CFE6DA1">
            <w:pPr>
              <w:jc w:val="center"/>
              <w:rPr>
                <w:color w:val="000000"/>
                <w:sz w:val="18"/>
                <w:szCs w:val="18"/>
              </w:rPr>
            </w:pPr>
            <w:r>
              <w:rPr>
                <w:rFonts w:hint="eastAsia"/>
                <w:color w:val="000000"/>
                <w:sz w:val="18"/>
                <w:szCs w:val="18"/>
              </w:rPr>
              <w:t>10</w:t>
            </w:r>
          </w:p>
        </w:tc>
        <w:tc>
          <w:tcPr>
            <w:tcW w:w="2710" w:type="dxa"/>
            <w:tcBorders>
              <w:top w:val="nil"/>
              <w:left w:val="nil"/>
              <w:bottom w:val="single" w:color="auto" w:sz="8" w:space="0"/>
              <w:right w:val="single" w:color="auto" w:sz="8" w:space="0"/>
            </w:tcBorders>
            <w:shd w:val="clear" w:color="auto" w:fill="auto"/>
            <w:vAlign w:val="center"/>
          </w:tcPr>
          <w:p w14:paraId="07C09701">
            <w:pPr>
              <w:jc w:val="center"/>
              <w:rPr>
                <w:color w:val="000000"/>
                <w:sz w:val="18"/>
                <w:szCs w:val="18"/>
              </w:rPr>
            </w:pPr>
            <w:r>
              <w:rPr>
                <w:rFonts w:hint="eastAsia"/>
                <w:color w:val="000000"/>
                <w:sz w:val="18"/>
                <w:szCs w:val="18"/>
              </w:rPr>
              <w:t>冲击电压</w:t>
            </w:r>
          </w:p>
        </w:tc>
        <w:tc>
          <w:tcPr>
            <w:tcW w:w="1020" w:type="dxa"/>
            <w:tcBorders>
              <w:top w:val="nil"/>
              <w:left w:val="nil"/>
              <w:bottom w:val="single" w:color="auto" w:sz="8" w:space="0"/>
              <w:right w:val="single" w:color="auto" w:sz="8" w:space="0"/>
            </w:tcBorders>
            <w:shd w:val="clear" w:color="auto" w:fill="auto"/>
            <w:vAlign w:val="center"/>
          </w:tcPr>
          <w:p w14:paraId="026DA8DB">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vAlign w:val="center"/>
          </w:tcPr>
          <w:p w14:paraId="43F38278">
            <w:pPr>
              <w:jc w:val="center"/>
              <w:rPr>
                <w:color w:val="000000"/>
                <w:sz w:val="18"/>
                <w:szCs w:val="18"/>
              </w:rPr>
            </w:pPr>
            <w:r>
              <w:rPr>
                <w:rFonts w:hint="eastAsia"/>
                <w:color w:val="000000"/>
                <w:sz w:val="18"/>
                <w:szCs w:val="18"/>
              </w:rPr>
              <w:t>√</w:t>
            </w:r>
          </w:p>
        </w:tc>
        <w:tc>
          <w:tcPr>
            <w:tcW w:w="1504" w:type="dxa"/>
            <w:tcBorders>
              <w:top w:val="nil"/>
              <w:left w:val="nil"/>
              <w:bottom w:val="single" w:color="auto" w:sz="8" w:space="0"/>
              <w:right w:val="single" w:color="auto" w:sz="8" w:space="0"/>
            </w:tcBorders>
            <w:shd w:val="clear" w:color="auto" w:fill="auto"/>
            <w:vAlign w:val="center"/>
          </w:tcPr>
          <w:p w14:paraId="6FE1162D">
            <w:pPr>
              <w:jc w:val="center"/>
              <w:rPr>
                <w:color w:val="000000"/>
                <w:sz w:val="18"/>
                <w:szCs w:val="18"/>
              </w:rPr>
            </w:pPr>
            <w:r>
              <w:rPr>
                <w:rFonts w:hint="eastAsia"/>
                <w:color w:val="000000"/>
                <w:sz w:val="18"/>
                <w:szCs w:val="18"/>
              </w:rPr>
              <w:t>5.4.2</w:t>
            </w:r>
          </w:p>
        </w:tc>
        <w:tc>
          <w:tcPr>
            <w:tcW w:w="1561" w:type="dxa"/>
            <w:tcBorders>
              <w:top w:val="nil"/>
              <w:left w:val="nil"/>
              <w:bottom w:val="single" w:color="auto" w:sz="8" w:space="0"/>
              <w:right w:val="single" w:color="auto" w:sz="8" w:space="0"/>
            </w:tcBorders>
            <w:shd w:val="clear" w:color="auto" w:fill="auto"/>
            <w:vAlign w:val="center"/>
          </w:tcPr>
          <w:p w14:paraId="291CB25D">
            <w:pPr>
              <w:jc w:val="center"/>
              <w:rPr>
                <w:color w:val="000000"/>
                <w:sz w:val="18"/>
                <w:szCs w:val="18"/>
              </w:rPr>
            </w:pPr>
            <w:r>
              <w:rPr>
                <w:rFonts w:hint="eastAsia"/>
                <w:color w:val="000000"/>
                <w:sz w:val="18"/>
                <w:szCs w:val="18"/>
              </w:rPr>
              <w:t>6.5.2</w:t>
            </w:r>
          </w:p>
        </w:tc>
      </w:tr>
      <w:tr w14:paraId="01EEE986">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2D664F53">
            <w:pPr>
              <w:jc w:val="center"/>
              <w:rPr>
                <w:color w:val="000000"/>
                <w:sz w:val="18"/>
                <w:szCs w:val="18"/>
              </w:rPr>
            </w:pPr>
            <w:r>
              <w:rPr>
                <w:rFonts w:hint="eastAsia"/>
                <w:color w:val="000000"/>
                <w:sz w:val="18"/>
                <w:szCs w:val="18"/>
              </w:rPr>
              <w:t>11</w:t>
            </w:r>
          </w:p>
        </w:tc>
        <w:tc>
          <w:tcPr>
            <w:tcW w:w="2710" w:type="dxa"/>
            <w:tcBorders>
              <w:top w:val="nil"/>
              <w:left w:val="nil"/>
              <w:bottom w:val="single" w:color="auto" w:sz="8" w:space="0"/>
              <w:right w:val="single" w:color="auto" w:sz="8" w:space="0"/>
            </w:tcBorders>
            <w:shd w:val="clear" w:color="auto" w:fill="auto"/>
            <w:vAlign w:val="center"/>
          </w:tcPr>
          <w:p w14:paraId="48FDE0AB">
            <w:pPr>
              <w:jc w:val="center"/>
              <w:rPr>
                <w:color w:val="000000"/>
                <w:sz w:val="18"/>
                <w:szCs w:val="18"/>
              </w:rPr>
            </w:pPr>
            <w:r>
              <w:rPr>
                <w:rFonts w:hint="eastAsia"/>
                <w:color w:val="000000"/>
                <w:sz w:val="18"/>
                <w:szCs w:val="18"/>
              </w:rPr>
              <w:t>电压暂降和短时中断</w:t>
            </w:r>
          </w:p>
        </w:tc>
        <w:tc>
          <w:tcPr>
            <w:tcW w:w="1020" w:type="dxa"/>
            <w:tcBorders>
              <w:top w:val="nil"/>
              <w:left w:val="nil"/>
              <w:bottom w:val="single" w:color="auto" w:sz="8" w:space="0"/>
              <w:right w:val="single" w:color="auto" w:sz="8" w:space="0"/>
            </w:tcBorders>
            <w:shd w:val="clear" w:color="auto" w:fill="auto"/>
            <w:vAlign w:val="center"/>
          </w:tcPr>
          <w:p w14:paraId="4EA0DED4">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tcPr>
          <w:p w14:paraId="0C915BA3">
            <w:pPr>
              <w:jc w:val="center"/>
              <w:rPr>
                <w:color w:val="000000"/>
                <w:sz w:val="18"/>
                <w:szCs w:val="18"/>
              </w:rPr>
            </w:pPr>
            <w:r>
              <w:rPr>
                <w:rFonts w:hint="eastAsia" w:ascii="Times New Roman" w:hAnsi="Times New Roman" w:cs="Times New Roman"/>
                <w:color w:val="000000"/>
                <w:sz w:val="20"/>
                <w:szCs w:val="20"/>
              </w:rPr>
              <w:t>-</w:t>
            </w:r>
          </w:p>
        </w:tc>
        <w:tc>
          <w:tcPr>
            <w:tcW w:w="1504" w:type="dxa"/>
            <w:tcBorders>
              <w:top w:val="nil"/>
              <w:left w:val="nil"/>
              <w:bottom w:val="single" w:color="auto" w:sz="8" w:space="0"/>
              <w:right w:val="single" w:color="auto" w:sz="8" w:space="0"/>
            </w:tcBorders>
            <w:shd w:val="clear" w:color="auto" w:fill="auto"/>
            <w:vAlign w:val="center"/>
          </w:tcPr>
          <w:p w14:paraId="3F752FEA">
            <w:pPr>
              <w:jc w:val="center"/>
              <w:rPr>
                <w:color w:val="000000"/>
                <w:sz w:val="18"/>
                <w:szCs w:val="18"/>
              </w:rPr>
            </w:pPr>
            <w:r>
              <w:rPr>
                <w:rFonts w:hint="eastAsia"/>
                <w:color w:val="000000"/>
                <w:sz w:val="18"/>
                <w:szCs w:val="18"/>
              </w:rPr>
              <w:t>5.5</w:t>
            </w:r>
          </w:p>
        </w:tc>
        <w:tc>
          <w:tcPr>
            <w:tcW w:w="1561" w:type="dxa"/>
            <w:tcBorders>
              <w:top w:val="nil"/>
              <w:left w:val="nil"/>
              <w:bottom w:val="single" w:color="auto" w:sz="8" w:space="0"/>
              <w:right w:val="single" w:color="auto" w:sz="8" w:space="0"/>
            </w:tcBorders>
            <w:shd w:val="clear" w:color="auto" w:fill="auto"/>
            <w:vAlign w:val="center"/>
          </w:tcPr>
          <w:p w14:paraId="0DBC0A97">
            <w:pPr>
              <w:jc w:val="center"/>
              <w:rPr>
                <w:color w:val="000000"/>
                <w:sz w:val="18"/>
                <w:szCs w:val="18"/>
              </w:rPr>
            </w:pPr>
            <w:r>
              <w:rPr>
                <w:rFonts w:hint="eastAsia"/>
                <w:color w:val="000000"/>
                <w:sz w:val="18"/>
                <w:szCs w:val="18"/>
              </w:rPr>
              <w:t>6.6.1</w:t>
            </w:r>
          </w:p>
        </w:tc>
      </w:tr>
      <w:tr w14:paraId="577861CF">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458162AA">
            <w:pPr>
              <w:jc w:val="center"/>
              <w:rPr>
                <w:color w:val="000000"/>
                <w:sz w:val="18"/>
                <w:szCs w:val="18"/>
              </w:rPr>
            </w:pPr>
            <w:r>
              <w:rPr>
                <w:rFonts w:hint="eastAsia"/>
                <w:color w:val="000000"/>
                <w:sz w:val="18"/>
                <w:szCs w:val="18"/>
              </w:rPr>
              <w:t>12</w:t>
            </w:r>
          </w:p>
        </w:tc>
        <w:tc>
          <w:tcPr>
            <w:tcW w:w="2710" w:type="dxa"/>
            <w:tcBorders>
              <w:top w:val="nil"/>
              <w:left w:val="nil"/>
              <w:bottom w:val="single" w:color="auto" w:sz="8" w:space="0"/>
              <w:right w:val="single" w:color="auto" w:sz="8" w:space="0"/>
            </w:tcBorders>
            <w:shd w:val="clear" w:color="auto" w:fill="auto"/>
            <w:vAlign w:val="center"/>
          </w:tcPr>
          <w:p w14:paraId="0FB2FB50">
            <w:pPr>
              <w:jc w:val="center"/>
              <w:rPr>
                <w:color w:val="000000"/>
                <w:sz w:val="18"/>
                <w:szCs w:val="18"/>
              </w:rPr>
            </w:pPr>
            <w:r>
              <w:rPr>
                <w:rFonts w:hint="eastAsia"/>
                <w:color w:val="000000"/>
                <w:sz w:val="18"/>
                <w:szCs w:val="18"/>
              </w:rPr>
              <w:t>工频磁场抗扰度</w:t>
            </w:r>
          </w:p>
        </w:tc>
        <w:tc>
          <w:tcPr>
            <w:tcW w:w="1020" w:type="dxa"/>
            <w:tcBorders>
              <w:top w:val="nil"/>
              <w:left w:val="nil"/>
              <w:bottom w:val="single" w:color="auto" w:sz="8" w:space="0"/>
              <w:right w:val="single" w:color="auto" w:sz="8" w:space="0"/>
            </w:tcBorders>
            <w:shd w:val="clear" w:color="auto" w:fill="auto"/>
            <w:vAlign w:val="center"/>
          </w:tcPr>
          <w:p w14:paraId="605FF797">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tcPr>
          <w:p w14:paraId="5CAA394A">
            <w:pPr>
              <w:jc w:val="center"/>
              <w:rPr>
                <w:color w:val="000000"/>
                <w:sz w:val="18"/>
                <w:szCs w:val="18"/>
              </w:rPr>
            </w:pPr>
            <w:r>
              <w:rPr>
                <w:rFonts w:hint="eastAsia" w:ascii="Times New Roman" w:hAnsi="Times New Roman" w:cs="Times New Roman"/>
                <w:color w:val="000000"/>
                <w:sz w:val="20"/>
                <w:szCs w:val="20"/>
              </w:rPr>
              <w:t>-</w:t>
            </w:r>
          </w:p>
        </w:tc>
        <w:tc>
          <w:tcPr>
            <w:tcW w:w="1504" w:type="dxa"/>
            <w:tcBorders>
              <w:top w:val="nil"/>
              <w:left w:val="nil"/>
              <w:bottom w:val="single" w:color="auto" w:sz="8" w:space="0"/>
              <w:right w:val="single" w:color="auto" w:sz="8" w:space="0"/>
            </w:tcBorders>
            <w:shd w:val="clear" w:color="auto" w:fill="auto"/>
            <w:vAlign w:val="center"/>
          </w:tcPr>
          <w:p w14:paraId="0964B922">
            <w:pPr>
              <w:jc w:val="center"/>
              <w:rPr>
                <w:color w:val="000000"/>
                <w:sz w:val="18"/>
                <w:szCs w:val="18"/>
              </w:rPr>
            </w:pPr>
            <w:r>
              <w:rPr>
                <w:rFonts w:hint="eastAsia"/>
                <w:color w:val="000000"/>
                <w:sz w:val="18"/>
                <w:szCs w:val="18"/>
              </w:rPr>
              <w:t>5.5</w:t>
            </w:r>
          </w:p>
        </w:tc>
        <w:tc>
          <w:tcPr>
            <w:tcW w:w="1561" w:type="dxa"/>
            <w:tcBorders>
              <w:top w:val="nil"/>
              <w:left w:val="nil"/>
              <w:bottom w:val="single" w:color="auto" w:sz="8" w:space="0"/>
              <w:right w:val="single" w:color="auto" w:sz="8" w:space="0"/>
            </w:tcBorders>
            <w:shd w:val="clear" w:color="auto" w:fill="auto"/>
            <w:vAlign w:val="center"/>
          </w:tcPr>
          <w:p w14:paraId="781EFA61">
            <w:pPr>
              <w:jc w:val="center"/>
              <w:rPr>
                <w:color w:val="000000"/>
                <w:sz w:val="18"/>
                <w:szCs w:val="18"/>
              </w:rPr>
            </w:pPr>
            <w:r>
              <w:rPr>
                <w:rFonts w:hint="eastAsia"/>
                <w:color w:val="000000"/>
                <w:sz w:val="18"/>
                <w:szCs w:val="18"/>
              </w:rPr>
              <w:t>6.6.2</w:t>
            </w:r>
          </w:p>
        </w:tc>
      </w:tr>
      <w:tr w14:paraId="68BBF723">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404D24BB">
            <w:pPr>
              <w:jc w:val="center"/>
              <w:rPr>
                <w:color w:val="000000"/>
                <w:sz w:val="18"/>
                <w:szCs w:val="18"/>
              </w:rPr>
            </w:pPr>
            <w:r>
              <w:rPr>
                <w:rFonts w:hint="eastAsia"/>
                <w:color w:val="000000"/>
                <w:sz w:val="18"/>
                <w:szCs w:val="18"/>
              </w:rPr>
              <w:t>13</w:t>
            </w:r>
          </w:p>
        </w:tc>
        <w:tc>
          <w:tcPr>
            <w:tcW w:w="2710" w:type="dxa"/>
            <w:tcBorders>
              <w:top w:val="nil"/>
              <w:left w:val="nil"/>
              <w:bottom w:val="single" w:color="auto" w:sz="8" w:space="0"/>
              <w:right w:val="single" w:color="auto" w:sz="8" w:space="0"/>
            </w:tcBorders>
            <w:shd w:val="clear" w:color="auto" w:fill="auto"/>
            <w:vAlign w:val="center"/>
          </w:tcPr>
          <w:p w14:paraId="6A86EE4D">
            <w:pPr>
              <w:jc w:val="center"/>
              <w:rPr>
                <w:color w:val="000000"/>
                <w:sz w:val="18"/>
                <w:szCs w:val="18"/>
              </w:rPr>
            </w:pPr>
            <w:r>
              <w:rPr>
                <w:rFonts w:hint="eastAsia"/>
                <w:color w:val="000000"/>
                <w:sz w:val="18"/>
                <w:szCs w:val="18"/>
              </w:rPr>
              <w:t>射频辐射电磁场抗扰度</w:t>
            </w:r>
          </w:p>
        </w:tc>
        <w:tc>
          <w:tcPr>
            <w:tcW w:w="1020" w:type="dxa"/>
            <w:tcBorders>
              <w:top w:val="nil"/>
              <w:left w:val="nil"/>
              <w:bottom w:val="single" w:color="auto" w:sz="8" w:space="0"/>
              <w:right w:val="single" w:color="auto" w:sz="8" w:space="0"/>
            </w:tcBorders>
            <w:shd w:val="clear" w:color="auto" w:fill="auto"/>
            <w:vAlign w:val="center"/>
          </w:tcPr>
          <w:p w14:paraId="5570EE0B">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tcPr>
          <w:p w14:paraId="6868EF50">
            <w:pPr>
              <w:jc w:val="center"/>
              <w:rPr>
                <w:color w:val="000000"/>
                <w:sz w:val="18"/>
                <w:szCs w:val="18"/>
              </w:rPr>
            </w:pPr>
            <w:r>
              <w:rPr>
                <w:rFonts w:hint="eastAsia" w:ascii="Times New Roman" w:hAnsi="Times New Roman" w:cs="Times New Roman"/>
                <w:color w:val="000000"/>
                <w:sz w:val="20"/>
                <w:szCs w:val="20"/>
              </w:rPr>
              <w:t>-</w:t>
            </w:r>
          </w:p>
        </w:tc>
        <w:tc>
          <w:tcPr>
            <w:tcW w:w="1504" w:type="dxa"/>
            <w:tcBorders>
              <w:top w:val="nil"/>
              <w:left w:val="nil"/>
              <w:bottom w:val="single" w:color="auto" w:sz="8" w:space="0"/>
              <w:right w:val="single" w:color="auto" w:sz="8" w:space="0"/>
            </w:tcBorders>
            <w:shd w:val="clear" w:color="auto" w:fill="auto"/>
            <w:vAlign w:val="center"/>
          </w:tcPr>
          <w:p w14:paraId="1CB1CFAB">
            <w:pPr>
              <w:jc w:val="center"/>
              <w:rPr>
                <w:color w:val="000000"/>
                <w:sz w:val="18"/>
                <w:szCs w:val="18"/>
              </w:rPr>
            </w:pPr>
            <w:r>
              <w:rPr>
                <w:rFonts w:hint="eastAsia"/>
                <w:color w:val="000000"/>
                <w:sz w:val="18"/>
                <w:szCs w:val="18"/>
              </w:rPr>
              <w:t>5.5</w:t>
            </w:r>
          </w:p>
        </w:tc>
        <w:tc>
          <w:tcPr>
            <w:tcW w:w="1561" w:type="dxa"/>
            <w:tcBorders>
              <w:top w:val="nil"/>
              <w:left w:val="nil"/>
              <w:bottom w:val="single" w:color="auto" w:sz="8" w:space="0"/>
              <w:right w:val="single" w:color="auto" w:sz="8" w:space="0"/>
            </w:tcBorders>
            <w:shd w:val="clear" w:color="auto" w:fill="auto"/>
            <w:vAlign w:val="center"/>
          </w:tcPr>
          <w:p w14:paraId="6C789368">
            <w:pPr>
              <w:jc w:val="center"/>
              <w:rPr>
                <w:color w:val="000000"/>
                <w:sz w:val="18"/>
                <w:szCs w:val="18"/>
              </w:rPr>
            </w:pPr>
            <w:r>
              <w:rPr>
                <w:rFonts w:hint="eastAsia"/>
                <w:color w:val="000000"/>
                <w:sz w:val="18"/>
                <w:szCs w:val="18"/>
              </w:rPr>
              <w:t>6.6.3</w:t>
            </w:r>
          </w:p>
        </w:tc>
      </w:tr>
      <w:tr w14:paraId="702F80E4">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0E04EB62">
            <w:pPr>
              <w:jc w:val="center"/>
              <w:rPr>
                <w:color w:val="000000"/>
                <w:sz w:val="18"/>
                <w:szCs w:val="18"/>
              </w:rPr>
            </w:pPr>
            <w:r>
              <w:rPr>
                <w:rFonts w:hint="eastAsia"/>
                <w:color w:val="000000"/>
                <w:sz w:val="18"/>
                <w:szCs w:val="18"/>
              </w:rPr>
              <w:t>14</w:t>
            </w:r>
          </w:p>
        </w:tc>
        <w:tc>
          <w:tcPr>
            <w:tcW w:w="2710" w:type="dxa"/>
            <w:tcBorders>
              <w:top w:val="nil"/>
              <w:left w:val="nil"/>
              <w:bottom w:val="single" w:color="auto" w:sz="8" w:space="0"/>
              <w:right w:val="single" w:color="auto" w:sz="8" w:space="0"/>
            </w:tcBorders>
            <w:shd w:val="clear" w:color="auto" w:fill="auto"/>
            <w:vAlign w:val="center"/>
          </w:tcPr>
          <w:p w14:paraId="6DC6D721">
            <w:pPr>
              <w:jc w:val="center"/>
              <w:rPr>
                <w:color w:val="000000"/>
                <w:sz w:val="18"/>
                <w:szCs w:val="18"/>
              </w:rPr>
            </w:pPr>
            <w:r>
              <w:rPr>
                <w:rFonts w:hint="eastAsia"/>
                <w:color w:val="000000"/>
                <w:sz w:val="18"/>
                <w:szCs w:val="18"/>
              </w:rPr>
              <w:t>射频场感应的传导骚扰抗扰度</w:t>
            </w:r>
          </w:p>
        </w:tc>
        <w:tc>
          <w:tcPr>
            <w:tcW w:w="1020" w:type="dxa"/>
            <w:tcBorders>
              <w:top w:val="nil"/>
              <w:left w:val="nil"/>
              <w:bottom w:val="single" w:color="auto" w:sz="8" w:space="0"/>
              <w:right w:val="single" w:color="auto" w:sz="8" w:space="0"/>
            </w:tcBorders>
            <w:shd w:val="clear" w:color="auto" w:fill="auto"/>
            <w:vAlign w:val="center"/>
          </w:tcPr>
          <w:p w14:paraId="0038069A">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tcPr>
          <w:p w14:paraId="0061EDEF">
            <w:pPr>
              <w:jc w:val="center"/>
              <w:rPr>
                <w:color w:val="000000"/>
                <w:sz w:val="18"/>
                <w:szCs w:val="18"/>
              </w:rPr>
            </w:pPr>
            <w:r>
              <w:rPr>
                <w:rFonts w:hint="eastAsia" w:ascii="Times New Roman" w:hAnsi="Times New Roman" w:cs="Times New Roman"/>
                <w:color w:val="000000"/>
                <w:sz w:val="20"/>
                <w:szCs w:val="20"/>
              </w:rPr>
              <w:t>-</w:t>
            </w:r>
          </w:p>
        </w:tc>
        <w:tc>
          <w:tcPr>
            <w:tcW w:w="1504" w:type="dxa"/>
            <w:tcBorders>
              <w:top w:val="nil"/>
              <w:left w:val="nil"/>
              <w:bottom w:val="single" w:color="auto" w:sz="8" w:space="0"/>
              <w:right w:val="single" w:color="auto" w:sz="8" w:space="0"/>
            </w:tcBorders>
            <w:shd w:val="clear" w:color="auto" w:fill="auto"/>
            <w:vAlign w:val="center"/>
          </w:tcPr>
          <w:p w14:paraId="47F18ED7">
            <w:pPr>
              <w:jc w:val="center"/>
              <w:rPr>
                <w:color w:val="000000"/>
                <w:sz w:val="18"/>
                <w:szCs w:val="18"/>
              </w:rPr>
            </w:pPr>
            <w:r>
              <w:rPr>
                <w:rFonts w:hint="eastAsia"/>
                <w:color w:val="000000"/>
                <w:sz w:val="18"/>
                <w:szCs w:val="18"/>
              </w:rPr>
              <w:t>5.5</w:t>
            </w:r>
          </w:p>
        </w:tc>
        <w:tc>
          <w:tcPr>
            <w:tcW w:w="1561" w:type="dxa"/>
            <w:tcBorders>
              <w:top w:val="nil"/>
              <w:left w:val="nil"/>
              <w:bottom w:val="single" w:color="auto" w:sz="8" w:space="0"/>
              <w:right w:val="single" w:color="auto" w:sz="8" w:space="0"/>
            </w:tcBorders>
            <w:shd w:val="clear" w:color="auto" w:fill="auto"/>
            <w:vAlign w:val="center"/>
          </w:tcPr>
          <w:p w14:paraId="1901ABFB">
            <w:pPr>
              <w:jc w:val="center"/>
              <w:rPr>
                <w:color w:val="000000"/>
                <w:sz w:val="18"/>
                <w:szCs w:val="18"/>
              </w:rPr>
            </w:pPr>
            <w:r>
              <w:rPr>
                <w:rFonts w:hint="eastAsia"/>
                <w:color w:val="000000"/>
                <w:sz w:val="18"/>
                <w:szCs w:val="18"/>
              </w:rPr>
              <w:t>6.6.4</w:t>
            </w:r>
          </w:p>
        </w:tc>
      </w:tr>
      <w:tr w14:paraId="0896A5CD">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69709A52">
            <w:pPr>
              <w:jc w:val="center"/>
              <w:rPr>
                <w:color w:val="000000"/>
                <w:sz w:val="18"/>
                <w:szCs w:val="18"/>
              </w:rPr>
            </w:pPr>
            <w:r>
              <w:rPr>
                <w:rFonts w:hint="eastAsia"/>
                <w:color w:val="000000"/>
                <w:sz w:val="18"/>
                <w:szCs w:val="18"/>
              </w:rPr>
              <w:t>15</w:t>
            </w:r>
          </w:p>
        </w:tc>
        <w:tc>
          <w:tcPr>
            <w:tcW w:w="2710" w:type="dxa"/>
            <w:tcBorders>
              <w:top w:val="nil"/>
              <w:left w:val="nil"/>
              <w:bottom w:val="single" w:color="auto" w:sz="8" w:space="0"/>
              <w:right w:val="single" w:color="auto" w:sz="8" w:space="0"/>
            </w:tcBorders>
            <w:shd w:val="clear" w:color="auto" w:fill="auto"/>
            <w:vAlign w:val="center"/>
          </w:tcPr>
          <w:p w14:paraId="1FDD206C">
            <w:pPr>
              <w:jc w:val="center"/>
              <w:rPr>
                <w:color w:val="000000"/>
                <w:sz w:val="18"/>
                <w:szCs w:val="18"/>
              </w:rPr>
            </w:pPr>
            <w:r>
              <w:rPr>
                <w:rFonts w:hint="eastAsia"/>
                <w:color w:val="000000"/>
                <w:sz w:val="18"/>
                <w:szCs w:val="18"/>
              </w:rPr>
              <w:t>静电放电抗扰度</w:t>
            </w:r>
          </w:p>
        </w:tc>
        <w:tc>
          <w:tcPr>
            <w:tcW w:w="1020" w:type="dxa"/>
            <w:tcBorders>
              <w:top w:val="nil"/>
              <w:left w:val="nil"/>
              <w:bottom w:val="single" w:color="auto" w:sz="8" w:space="0"/>
              <w:right w:val="single" w:color="auto" w:sz="8" w:space="0"/>
            </w:tcBorders>
            <w:shd w:val="clear" w:color="auto" w:fill="auto"/>
            <w:vAlign w:val="center"/>
          </w:tcPr>
          <w:p w14:paraId="0131808B">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tcPr>
          <w:p w14:paraId="631CF58A">
            <w:pPr>
              <w:jc w:val="center"/>
              <w:rPr>
                <w:color w:val="000000"/>
                <w:sz w:val="18"/>
                <w:szCs w:val="18"/>
              </w:rPr>
            </w:pPr>
            <w:r>
              <w:rPr>
                <w:rFonts w:hint="eastAsia" w:ascii="Times New Roman" w:hAnsi="Times New Roman" w:cs="Times New Roman"/>
                <w:color w:val="000000"/>
                <w:sz w:val="20"/>
                <w:szCs w:val="20"/>
              </w:rPr>
              <w:t>-</w:t>
            </w:r>
          </w:p>
        </w:tc>
        <w:tc>
          <w:tcPr>
            <w:tcW w:w="1504" w:type="dxa"/>
            <w:tcBorders>
              <w:top w:val="nil"/>
              <w:left w:val="nil"/>
              <w:bottom w:val="single" w:color="auto" w:sz="8" w:space="0"/>
              <w:right w:val="single" w:color="auto" w:sz="8" w:space="0"/>
            </w:tcBorders>
            <w:shd w:val="clear" w:color="auto" w:fill="auto"/>
            <w:vAlign w:val="center"/>
          </w:tcPr>
          <w:p w14:paraId="69048CF1">
            <w:pPr>
              <w:jc w:val="center"/>
              <w:rPr>
                <w:color w:val="000000"/>
                <w:sz w:val="18"/>
                <w:szCs w:val="18"/>
              </w:rPr>
            </w:pPr>
            <w:r>
              <w:rPr>
                <w:rFonts w:hint="eastAsia"/>
                <w:color w:val="000000"/>
                <w:sz w:val="18"/>
                <w:szCs w:val="18"/>
              </w:rPr>
              <w:t>5.5</w:t>
            </w:r>
          </w:p>
        </w:tc>
        <w:tc>
          <w:tcPr>
            <w:tcW w:w="1561" w:type="dxa"/>
            <w:tcBorders>
              <w:top w:val="nil"/>
              <w:left w:val="nil"/>
              <w:bottom w:val="single" w:color="auto" w:sz="8" w:space="0"/>
              <w:right w:val="single" w:color="auto" w:sz="8" w:space="0"/>
            </w:tcBorders>
            <w:shd w:val="clear" w:color="auto" w:fill="auto"/>
            <w:vAlign w:val="center"/>
          </w:tcPr>
          <w:p w14:paraId="6E9FEEBC">
            <w:pPr>
              <w:jc w:val="center"/>
              <w:rPr>
                <w:color w:val="000000"/>
                <w:sz w:val="18"/>
                <w:szCs w:val="18"/>
              </w:rPr>
            </w:pPr>
            <w:r>
              <w:rPr>
                <w:rFonts w:hint="eastAsia"/>
                <w:color w:val="000000"/>
                <w:sz w:val="18"/>
                <w:szCs w:val="18"/>
              </w:rPr>
              <w:t>6.6.5</w:t>
            </w:r>
          </w:p>
        </w:tc>
      </w:tr>
      <w:tr w14:paraId="2F83CAE2">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1663548F">
            <w:pPr>
              <w:jc w:val="center"/>
              <w:rPr>
                <w:color w:val="000000"/>
                <w:sz w:val="18"/>
                <w:szCs w:val="18"/>
              </w:rPr>
            </w:pPr>
            <w:r>
              <w:rPr>
                <w:rFonts w:hint="eastAsia"/>
                <w:color w:val="000000"/>
                <w:sz w:val="18"/>
                <w:szCs w:val="18"/>
              </w:rPr>
              <w:t>16</w:t>
            </w:r>
          </w:p>
        </w:tc>
        <w:tc>
          <w:tcPr>
            <w:tcW w:w="2710" w:type="dxa"/>
            <w:tcBorders>
              <w:top w:val="nil"/>
              <w:left w:val="nil"/>
              <w:bottom w:val="single" w:color="auto" w:sz="8" w:space="0"/>
              <w:right w:val="single" w:color="auto" w:sz="8" w:space="0"/>
            </w:tcBorders>
            <w:shd w:val="clear" w:color="auto" w:fill="auto"/>
            <w:vAlign w:val="center"/>
          </w:tcPr>
          <w:p w14:paraId="7BAFB66E">
            <w:pPr>
              <w:jc w:val="center"/>
              <w:rPr>
                <w:color w:val="000000"/>
                <w:sz w:val="18"/>
                <w:szCs w:val="18"/>
              </w:rPr>
            </w:pPr>
            <w:r>
              <w:rPr>
                <w:rFonts w:hint="eastAsia"/>
                <w:color w:val="000000"/>
                <w:sz w:val="18"/>
                <w:szCs w:val="18"/>
              </w:rPr>
              <w:t>电快速瞬变脉冲群抗扰度</w:t>
            </w:r>
          </w:p>
        </w:tc>
        <w:tc>
          <w:tcPr>
            <w:tcW w:w="1020" w:type="dxa"/>
            <w:tcBorders>
              <w:top w:val="nil"/>
              <w:left w:val="nil"/>
              <w:bottom w:val="single" w:color="auto" w:sz="8" w:space="0"/>
              <w:right w:val="single" w:color="auto" w:sz="8" w:space="0"/>
            </w:tcBorders>
            <w:shd w:val="clear" w:color="auto" w:fill="auto"/>
            <w:vAlign w:val="center"/>
          </w:tcPr>
          <w:p w14:paraId="1EF69AEA">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tcPr>
          <w:p w14:paraId="75A1CDB5">
            <w:pPr>
              <w:jc w:val="center"/>
              <w:rPr>
                <w:color w:val="000000"/>
                <w:sz w:val="18"/>
                <w:szCs w:val="18"/>
              </w:rPr>
            </w:pPr>
            <w:r>
              <w:rPr>
                <w:rFonts w:hint="eastAsia" w:ascii="Times New Roman" w:hAnsi="Times New Roman" w:cs="Times New Roman"/>
                <w:color w:val="000000"/>
                <w:sz w:val="20"/>
                <w:szCs w:val="20"/>
              </w:rPr>
              <w:t>-</w:t>
            </w:r>
          </w:p>
        </w:tc>
        <w:tc>
          <w:tcPr>
            <w:tcW w:w="1504" w:type="dxa"/>
            <w:tcBorders>
              <w:top w:val="nil"/>
              <w:left w:val="nil"/>
              <w:bottom w:val="single" w:color="auto" w:sz="8" w:space="0"/>
              <w:right w:val="single" w:color="auto" w:sz="8" w:space="0"/>
            </w:tcBorders>
            <w:shd w:val="clear" w:color="auto" w:fill="auto"/>
            <w:vAlign w:val="center"/>
          </w:tcPr>
          <w:p w14:paraId="5B5D9CA0">
            <w:pPr>
              <w:jc w:val="center"/>
              <w:rPr>
                <w:color w:val="000000"/>
                <w:sz w:val="18"/>
                <w:szCs w:val="18"/>
              </w:rPr>
            </w:pPr>
            <w:r>
              <w:rPr>
                <w:rFonts w:hint="eastAsia"/>
                <w:color w:val="000000"/>
                <w:sz w:val="18"/>
                <w:szCs w:val="18"/>
              </w:rPr>
              <w:t>5.5</w:t>
            </w:r>
          </w:p>
        </w:tc>
        <w:tc>
          <w:tcPr>
            <w:tcW w:w="1561" w:type="dxa"/>
            <w:tcBorders>
              <w:top w:val="nil"/>
              <w:left w:val="nil"/>
              <w:bottom w:val="single" w:color="auto" w:sz="8" w:space="0"/>
              <w:right w:val="single" w:color="auto" w:sz="8" w:space="0"/>
            </w:tcBorders>
            <w:shd w:val="clear" w:color="auto" w:fill="auto"/>
            <w:vAlign w:val="center"/>
          </w:tcPr>
          <w:p w14:paraId="314E9A57">
            <w:pPr>
              <w:jc w:val="center"/>
              <w:rPr>
                <w:color w:val="000000"/>
                <w:sz w:val="18"/>
                <w:szCs w:val="18"/>
              </w:rPr>
            </w:pPr>
            <w:r>
              <w:rPr>
                <w:rFonts w:hint="eastAsia"/>
                <w:color w:val="000000"/>
                <w:sz w:val="18"/>
                <w:szCs w:val="18"/>
              </w:rPr>
              <w:t>6.6.6</w:t>
            </w:r>
          </w:p>
        </w:tc>
      </w:tr>
      <w:tr w14:paraId="11FC9F9A">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6E0AFA52">
            <w:pPr>
              <w:jc w:val="center"/>
              <w:rPr>
                <w:color w:val="000000"/>
                <w:sz w:val="18"/>
                <w:szCs w:val="18"/>
              </w:rPr>
            </w:pPr>
            <w:r>
              <w:rPr>
                <w:rFonts w:hint="eastAsia"/>
                <w:color w:val="000000"/>
                <w:sz w:val="18"/>
                <w:szCs w:val="18"/>
              </w:rPr>
              <w:t>17</w:t>
            </w:r>
          </w:p>
        </w:tc>
        <w:tc>
          <w:tcPr>
            <w:tcW w:w="2710" w:type="dxa"/>
            <w:tcBorders>
              <w:top w:val="nil"/>
              <w:left w:val="nil"/>
              <w:bottom w:val="single" w:color="auto" w:sz="8" w:space="0"/>
              <w:right w:val="single" w:color="auto" w:sz="8" w:space="0"/>
            </w:tcBorders>
            <w:shd w:val="clear" w:color="auto" w:fill="auto"/>
            <w:vAlign w:val="center"/>
          </w:tcPr>
          <w:p w14:paraId="3631FACD">
            <w:pPr>
              <w:jc w:val="center"/>
              <w:rPr>
                <w:color w:val="000000"/>
                <w:sz w:val="18"/>
                <w:szCs w:val="18"/>
              </w:rPr>
            </w:pPr>
            <w:r>
              <w:rPr>
                <w:rFonts w:hint="eastAsia"/>
                <w:color w:val="000000"/>
                <w:sz w:val="18"/>
                <w:szCs w:val="18"/>
              </w:rPr>
              <w:t>阻尼振荡波抗扰度</w:t>
            </w:r>
          </w:p>
        </w:tc>
        <w:tc>
          <w:tcPr>
            <w:tcW w:w="1020" w:type="dxa"/>
            <w:tcBorders>
              <w:top w:val="nil"/>
              <w:left w:val="nil"/>
              <w:bottom w:val="single" w:color="auto" w:sz="8" w:space="0"/>
              <w:right w:val="single" w:color="auto" w:sz="8" w:space="0"/>
            </w:tcBorders>
            <w:shd w:val="clear" w:color="auto" w:fill="auto"/>
            <w:vAlign w:val="center"/>
          </w:tcPr>
          <w:p w14:paraId="366F4A3D">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tcPr>
          <w:p w14:paraId="667FCFBD">
            <w:pPr>
              <w:jc w:val="center"/>
              <w:rPr>
                <w:color w:val="000000"/>
                <w:sz w:val="18"/>
                <w:szCs w:val="18"/>
              </w:rPr>
            </w:pPr>
            <w:r>
              <w:rPr>
                <w:rFonts w:hint="eastAsia" w:ascii="Times New Roman" w:hAnsi="Times New Roman" w:cs="Times New Roman"/>
                <w:color w:val="000000"/>
                <w:sz w:val="20"/>
                <w:szCs w:val="20"/>
              </w:rPr>
              <w:t>-</w:t>
            </w:r>
          </w:p>
        </w:tc>
        <w:tc>
          <w:tcPr>
            <w:tcW w:w="1504" w:type="dxa"/>
            <w:tcBorders>
              <w:top w:val="nil"/>
              <w:left w:val="nil"/>
              <w:bottom w:val="single" w:color="auto" w:sz="8" w:space="0"/>
              <w:right w:val="single" w:color="auto" w:sz="8" w:space="0"/>
            </w:tcBorders>
            <w:shd w:val="clear" w:color="auto" w:fill="auto"/>
            <w:vAlign w:val="center"/>
          </w:tcPr>
          <w:p w14:paraId="50516DBC">
            <w:pPr>
              <w:jc w:val="center"/>
              <w:rPr>
                <w:color w:val="000000"/>
                <w:sz w:val="18"/>
                <w:szCs w:val="18"/>
              </w:rPr>
            </w:pPr>
            <w:r>
              <w:rPr>
                <w:rFonts w:hint="eastAsia"/>
                <w:color w:val="000000"/>
                <w:sz w:val="18"/>
                <w:szCs w:val="18"/>
              </w:rPr>
              <w:t>5.5</w:t>
            </w:r>
          </w:p>
        </w:tc>
        <w:tc>
          <w:tcPr>
            <w:tcW w:w="1561" w:type="dxa"/>
            <w:tcBorders>
              <w:top w:val="nil"/>
              <w:left w:val="nil"/>
              <w:bottom w:val="single" w:color="auto" w:sz="8" w:space="0"/>
              <w:right w:val="single" w:color="auto" w:sz="8" w:space="0"/>
            </w:tcBorders>
            <w:shd w:val="clear" w:color="auto" w:fill="auto"/>
            <w:vAlign w:val="center"/>
          </w:tcPr>
          <w:p w14:paraId="5EEBAA99">
            <w:pPr>
              <w:jc w:val="center"/>
              <w:rPr>
                <w:color w:val="000000"/>
                <w:sz w:val="18"/>
                <w:szCs w:val="18"/>
              </w:rPr>
            </w:pPr>
            <w:r>
              <w:rPr>
                <w:rFonts w:hint="eastAsia"/>
                <w:color w:val="000000"/>
                <w:sz w:val="18"/>
                <w:szCs w:val="18"/>
              </w:rPr>
              <w:t>6.6.7</w:t>
            </w:r>
          </w:p>
        </w:tc>
      </w:tr>
      <w:tr w14:paraId="0E2FB882">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23839FA1">
            <w:pPr>
              <w:jc w:val="center"/>
              <w:rPr>
                <w:color w:val="000000"/>
                <w:sz w:val="18"/>
                <w:szCs w:val="18"/>
              </w:rPr>
            </w:pPr>
            <w:r>
              <w:rPr>
                <w:rFonts w:hint="eastAsia"/>
                <w:color w:val="000000"/>
                <w:sz w:val="18"/>
                <w:szCs w:val="18"/>
              </w:rPr>
              <w:t>18</w:t>
            </w:r>
          </w:p>
        </w:tc>
        <w:tc>
          <w:tcPr>
            <w:tcW w:w="2710" w:type="dxa"/>
            <w:tcBorders>
              <w:top w:val="nil"/>
              <w:left w:val="nil"/>
              <w:bottom w:val="single" w:color="auto" w:sz="8" w:space="0"/>
              <w:right w:val="single" w:color="auto" w:sz="8" w:space="0"/>
            </w:tcBorders>
            <w:shd w:val="clear" w:color="auto" w:fill="auto"/>
            <w:vAlign w:val="center"/>
          </w:tcPr>
          <w:p w14:paraId="0B8F9E4F">
            <w:pPr>
              <w:jc w:val="center"/>
              <w:rPr>
                <w:color w:val="000000"/>
                <w:sz w:val="18"/>
                <w:szCs w:val="18"/>
              </w:rPr>
            </w:pPr>
            <w:r>
              <w:rPr>
                <w:rFonts w:hint="eastAsia"/>
                <w:color w:val="000000"/>
                <w:sz w:val="18"/>
                <w:szCs w:val="18"/>
              </w:rPr>
              <w:t>浪涌抗扰度</w:t>
            </w:r>
          </w:p>
        </w:tc>
        <w:tc>
          <w:tcPr>
            <w:tcW w:w="1020" w:type="dxa"/>
            <w:tcBorders>
              <w:top w:val="nil"/>
              <w:left w:val="nil"/>
              <w:bottom w:val="single" w:color="auto" w:sz="8" w:space="0"/>
              <w:right w:val="single" w:color="auto" w:sz="8" w:space="0"/>
            </w:tcBorders>
            <w:shd w:val="clear" w:color="auto" w:fill="auto"/>
            <w:vAlign w:val="center"/>
          </w:tcPr>
          <w:p w14:paraId="1FB906BB">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tcPr>
          <w:p w14:paraId="1843F918">
            <w:pPr>
              <w:jc w:val="center"/>
              <w:rPr>
                <w:color w:val="000000"/>
                <w:sz w:val="18"/>
                <w:szCs w:val="18"/>
              </w:rPr>
            </w:pPr>
            <w:r>
              <w:rPr>
                <w:rFonts w:hint="eastAsia" w:ascii="Times New Roman" w:hAnsi="Times New Roman" w:cs="Times New Roman"/>
                <w:color w:val="000000"/>
                <w:sz w:val="20"/>
                <w:szCs w:val="20"/>
              </w:rPr>
              <w:t>-</w:t>
            </w:r>
          </w:p>
        </w:tc>
        <w:tc>
          <w:tcPr>
            <w:tcW w:w="1504" w:type="dxa"/>
            <w:tcBorders>
              <w:top w:val="nil"/>
              <w:left w:val="nil"/>
              <w:bottom w:val="single" w:color="auto" w:sz="8" w:space="0"/>
              <w:right w:val="single" w:color="auto" w:sz="8" w:space="0"/>
            </w:tcBorders>
            <w:shd w:val="clear" w:color="auto" w:fill="auto"/>
            <w:vAlign w:val="center"/>
          </w:tcPr>
          <w:p w14:paraId="02B7DA4D">
            <w:pPr>
              <w:jc w:val="center"/>
              <w:rPr>
                <w:color w:val="000000"/>
                <w:sz w:val="18"/>
                <w:szCs w:val="18"/>
              </w:rPr>
            </w:pPr>
            <w:r>
              <w:rPr>
                <w:rFonts w:hint="eastAsia"/>
                <w:color w:val="000000"/>
                <w:sz w:val="18"/>
                <w:szCs w:val="18"/>
              </w:rPr>
              <w:t>5.5</w:t>
            </w:r>
          </w:p>
        </w:tc>
        <w:tc>
          <w:tcPr>
            <w:tcW w:w="1561" w:type="dxa"/>
            <w:tcBorders>
              <w:top w:val="nil"/>
              <w:left w:val="nil"/>
              <w:bottom w:val="single" w:color="auto" w:sz="8" w:space="0"/>
              <w:right w:val="single" w:color="auto" w:sz="8" w:space="0"/>
            </w:tcBorders>
            <w:shd w:val="clear" w:color="auto" w:fill="auto"/>
            <w:vAlign w:val="center"/>
          </w:tcPr>
          <w:p w14:paraId="623E6183">
            <w:pPr>
              <w:jc w:val="center"/>
              <w:rPr>
                <w:color w:val="000000"/>
                <w:sz w:val="18"/>
                <w:szCs w:val="18"/>
              </w:rPr>
            </w:pPr>
            <w:r>
              <w:rPr>
                <w:rFonts w:hint="eastAsia"/>
                <w:color w:val="000000"/>
                <w:sz w:val="18"/>
                <w:szCs w:val="18"/>
              </w:rPr>
              <w:t>6.6.8</w:t>
            </w:r>
          </w:p>
        </w:tc>
      </w:tr>
      <w:tr w14:paraId="77BC1C82">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57C61C81">
            <w:pPr>
              <w:jc w:val="center"/>
              <w:rPr>
                <w:color w:val="000000"/>
                <w:sz w:val="18"/>
                <w:szCs w:val="18"/>
              </w:rPr>
            </w:pPr>
            <w:r>
              <w:rPr>
                <w:rFonts w:hint="eastAsia"/>
                <w:color w:val="000000"/>
                <w:sz w:val="18"/>
                <w:szCs w:val="18"/>
              </w:rPr>
              <w:t>19</w:t>
            </w:r>
          </w:p>
        </w:tc>
        <w:tc>
          <w:tcPr>
            <w:tcW w:w="2710" w:type="dxa"/>
            <w:tcBorders>
              <w:top w:val="nil"/>
              <w:left w:val="nil"/>
              <w:bottom w:val="single" w:color="auto" w:sz="8" w:space="0"/>
              <w:right w:val="single" w:color="auto" w:sz="8" w:space="0"/>
            </w:tcBorders>
            <w:shd w:val="clear" w:color="auto" w:fill="auto"/>
            <w:vAlign w:val="center"/>
          </w:tcPr>
          <w:p w14:paraId="6640736D">
            <w:pPr>
              <w:jc w:val="center"/>
              <w:rPr>
                <w:color w:val="000000"/>
                <w:sz w:val="18"/>
                <w:szCs w:val="18"/>
              </w:rPr>
            </w:pPr>
            <w:r>
              <w:rPr>
                <w:rFonts w:hint="eastAsia"/>
                <w:color w:val="000000"/>
                <w:sz w:val="18"/>
                <w:szCs w:val="18"/>
              </w:rPr>
              <w:t>卫星信号接收及通道数</w:t>
            </w:r>
          </w:p>
        </w:tc>
        <w:tc>
          <w:tcPr>
            <w:tcW w:w="1020" w:type="dxa"/>
            <w:tcBorders>
              <w:top w:val="nil"/>
              <w:left w:val="nil"/>
              <w:bottom w:val="single" w:color="auto" w:sz="8" w:space="0"/>
              <w:right w:val="single" w:color="auto" w:sz="8" w:space="0"/>
            </w:tcBorders>
            <w:shd w:val="clear" w:color="auto" w:fill="auto"/>
            <w:vAlign w:val="center"/>
          </w:tcPr>
          <w:p w14:paraId="51991262">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tcPr>
          <w:p w14:paraId="7863281E">
            <w:pPr>
              <w:jc w:val="center"/>
              <w:rPr>
                <w:color w:val="000000"/>
                <w:sz w:val="18"/>
                <w:szCs w:val="18"/>
              </w:rPr>
            </w:pPr>
            <w:r>
              <w:rPr>
                <w:rFonts w:hint="eastAsia" w:ascii="Times New Roman" w:hAnsi="Times New Roman" w:cs="Times New Roman"/>
                <w:color w:val="000000"/>
                <w:sz w:val="20"/>
                <w:szCs w:val="20"/>
              </w:rPr>
              <w:t>-</w:t>
            </w:r>
          </w:p>
        </w:tc>
        <w:tc>
          <w:tcPr>
            <w:tcW w:w="1504" w:type="dxa"/>
            <w:tcBorders>
              <w:top w:val="nil"/>
              <w:left w:val="nil"/>
              <w:bottom w:val="single" w:color="auto" w:sz="8" w:space="0"/>
              <w:right w:val="single" w:color="auto" w:sz="8" w:space="0"/>
            </w:tcBorders>
            <w:shd w:val="clear" w:color="auto" w:fill="auto"/>
            <w:vAlign w:val="center"/>
          </w:tcPr>
          <w:p w14:paraId="0F070408">
            <w:pPr>
              <w:jc w:val="center"/>
              <w:rPr>
                <w:color w:val="000000"/>
                <w:sz w:val="18"/>
                <w:szCs w:val="18"/>
              </w:rPr>
            </w:pPr>
            <w:r>
              <w:rPr>
                <w:rFonts w:hint="eastAsia"/>
                <w:color w:val="000000"/>
                <w:sz w:val="18"/>
                <w:szCs w:val="18"/>
              </w:rPr>
              <w:t>5.6.1</w:t>
            </w:r>
          </w:p>
        </w:tc>
        <w:tc>
          <w:tcPr>
            <w:tcW w:w="1561" w:type="dxa"/>
            <w:tcBorders>
              <w:top w:val="nil"/>
              <w:left w:val="nil"/>
              <w:bottom w:val="single" w:color="auto" w:sz="8" w:space="0"/>
              <w:right w:val="single" w:color="auto" w:sz="8" w:space="0"/>
            </w:tcBorders>
            <w:shd w:val="clear" w:color="auto" w:fill="auto"/>
            <w:vAlign w:val="center"/>
          </w:tcPr>
          <w:p w14:paraId="1B326792">
            <w:pPr>
              <w:jc w:val="center"/>
              <w:rPr>
                <w:color w:val="000000"/>
                <w:sz w:val="18"/>
                <w:szCs w:val="18"/>
              </w:rPr>
            </w:pPr>
            <w:r>
              <w:rPr>
                <w:rFonts w:hint="eastAsia"/>
                <w:color w:val="000000"/>
                <w:sz w:val="18"/>
                <w:szCs w:val="18"/>
              </w:rPr>
              <w:t>6.7.1</w:t>
            </w:r>
          </w:p>
        </w:tc>
      </w:tr>
      <w:tr w14:paraId="574E8B75">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069EAA94">
            <w:pPr>
              <w:jc w:val="center"/>
              <w:rPr>
                <w:color w:val="000000"/>
                <w:sz w:val="18"/>
                <w:szCs w:val="18"/>
              </w:rPr>
            </w:pPr>
            <w:r>
              <w:rPr>
                <w:rFonts w:hint="eastAsia"/>
                <w:color w:val="000000"/>
                <w:sz w:val="18"/>
                <w:szCs w:val="18"/>
              </w:rPr>
              <w:t>20</w:t>
            </w:r>
          </w:p>
        </w:tc>
        <w:tc>
          <w:tcPr>
            <w:tcW w:w="2710" w:type="dxa"/>
            <w:tcBorders>
              <w:top w:val="nil"/>
              <w:left w:val="nil"/>
              <w:bottom w:val="single" w:color="auto" w:sz="8" w:space="0"/>
              <w:right w:val="single" w:color="auto" w:sz="8" w:space="0"/>
            </w:tcBorders>
            <w:shd w:val="clear" w:color="auto" w:fill="auto"/>
            <w:vAlign w:val="center"/>
          </w:tcPr>
          <w:p w14:paraId="1002B347">
            <w:pPr>
              <w:jc w:val="center"/>
              <w:rPr>
                <w:color w:val="000000"/>
                <w:sz w:val="18"/>
                <w:szCs w:val="18"/>
              </w:rPr>
            </w:pPr>
            <w:r>
              <w:rPr>
                <w:rFonts w:hint="eastAsia"/>
                <w:color w:val="000000"/>
                <w:sz w:val="18"/>
                <w:szCs w:val="18"/>
              </w:rPr>
              <w:t>单点定位精度</w:t>
            </w:r>
          </w:p>
        </w:tc>
        <w:tc>
          <w:tcPr>
            <w:tcW w:w="1020" w:type="dxa"/>
            <w:tcBorders>
              <w:top w:val="nil"/>
              <w:left w:val="nil"/>
              <w:bottom w:val="single" w:color="auto" w:sz="8" w:space="0"/>
              <w:right w:val="single" w:color="auto" w:sz="8" w:space="0"/>
            </w:tcBorders>
            <w:shd w:val="clear" w:color="auto" w:fill="auto"/>
            <w:vAlign w:val="center"/>
          </w:tcPr>
          <w:p w14:paraId="52A47785">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vAlign w:val="center"/>
          </w:tcPr>
          <w:p w14:paraId="0A8A0329">
            <w:pPr>
              <w:jc w:val="center"/>
              <w:rPr>
                <w:color w:val="000000"/>
                <w:sz w:val="18"/>
                <w:szCs w:val="18"/>
              </w:rPr>
            </w:pPr>
            <w:r>
              <w:rPr>
                <w:rFonts w:hint="eastAsia"/>
                <w:color w:val="000000"/>
                <w:sz w:val="18"/>
                <w:szCs w:val="18"/>
              </w:rPr>
              <w:t>√</w:t>
            </w:r>
          </w:p>
        </w:tc>
        <w:tc>
          <w:tcPr>
            <w:tcW w:w="1504" w:type="dxa"/>
            <w:tcBorders>
              <w:top w:val="nil"/>
              <w:left w:val="nil"/>
              <w:bottom w:val="single" w:color="auto" w:sz="8" w:space="0"/>
              <w:right w:val="single" w:color="auto" w:sz="8" w:space="0"/>
            </w:tcBorders>
            <w:shd w:val="clear" w:color="auto" w:fill="auto"/>
            <w:vAlign w:val="center"/>
          </w:tcPr>
          <w:p w14:paraId="6BA7E733">
            <w:pPr>
              <w:jc w:val="center"/>
              <w:rPr>
                <w:color w:val="000000"/>
                <w:sz w:val="18"/>
                <w:szCs w:val="18"/>
              </w:rPr>
            </w:pPr>
            <w:r>
              <w:rPr>
                <w:rFonts w:hint="eastAsia"/>
                <w:color w:val="000000"/>
                <w:sz w:val="18"/>
                <w:szCs w:val="18"/>
              </w:rPr>
              <w:t>5.6.2</w:t>
            </w:r>
          </w:p>
        </w:tc>
        <w:tc>
          <w:tcPr>
            <w:tcW w:w="1561" w:type="dxa"/>
            <w:tcBorders>
              <w:top w:val="nil"/>
              <w:left w:val="nil"/>
              <w:bottom w:val="single" w:color="auto" w:sz="8" w:space="0"/>
              <w:right w:val="single" w:color="auto" w:sz="8" w:space="0"/>
            </w:tcBorders>
            <w:shd w:val="clear" w:color="auto" w:fill="auto"/>
            <w:vAlign w:val="center"/>
          </w:tcPr>
          <w:p w14:paraId="235D8F48">
            <w:pPr>
              <w:jc w:val="center"/>
              <w:rPr>
                <w:color w:val="000000"/>
                <w:sz w:val="18"/>
                <w:szCs w:val="18"/>
              </w:rPr>
            </w:pPr>
            <w:r>
              <w:rPr>
                <w:rFonts w:hint="eastAsia"/>
                <w:color w:val="000000"/>
                <w:sz w:val="18"/>
                <w:szCs w:val="18"/>
              </w:rPr>
              <w:t>6.7.2.1</w:t>
            </w:r>
          </w:p>
        </w:tc>
      </w:tr>
      <w:tr w14:paraId="79AE1288">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7B48DA39">
            <w:pPr>
              <w:jc w:val="center"/>
              <w:rPr>
                <w:color w:val="000000"/>
                <w:sz w:val="18"/>
                <w:szCs w:val="18"/>
              </w:rPr>
            </w:pPr>
            <w:r>
              <w:rPr>
                <w:rFonts w:hint="eastAsia"/>
                <w:color w:val="000000"/>
                <w:sz w:val="18"/>
                <w:szCs w:val="18"/>
              </w:rPr>
              <w:t>21</w:t>
            </w:r>
          </w:p>
        </w:tc>
        <w:tc>
          <w:tcPr>
            <w:tcW w:w="2710" w:type="dxa"/>
            <w:tcBorders>
              <w:top w:val="nil"/>
              <w:left w:val="nil"/>
              <w:bottom w:val="single" w:color="auto" w:sz="8" w:space="0"/>
              <w:right w:val="single" w:color="auto" w:sz="8" w:space="0"/>
            </w:tcBorders>
            <w:shd w:val="clear" w:color="auto" w:fill="auto"/>
            <w:vAlign w:val="center"/>
          </w:tcPr>
          <w:p w14:paraId="34E8AAED">
            <w:pPr>
              <w:jc w:val="center"/>
              <w:rPr>
                <w:color w:val="000000"/>
                <w:sz w:val="18"/>
                <w:szCs w:val="18"/>
              </w:rPr>
            </w:pPr>
            <w:r>
              <w:rPr>
                <w:rFonts w:hint="eastAsia"/>
                <w:color w:val="000000"/>
                <w:sz w:val="18"/>
                <w:szCs w:val="18"/>
              </w:rPr>
              <w:t>PPP定位精度</w:t>
            </w:r>
          </w:p>
        </w:tc>
        <w:tc>
          <w:tcPr>
            <w:tcW w:w="1020" w:type="dxa"/>
            <w:tcBorders>
              <w:top w:val="nil"/>
              <w:left w:val="nil"/>
              <w:bottom w:val="single" w:color="auto" w:sz="8" w:space="0"/>
              <w:right w:val="single" w:color="auto" w:sz="8" w:space="0"/>
            </w:tcBorders>
            <w:shd w:val="clear" w:color="auto" w:fill="auto"/>
            <w:vAlign w:val="center"/>
          </w:tcPr>
          <w:p w14:paraId="5CF2276E">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vAlign w:val="center"/>
          </w:tcPr>
          <w:p w14:paraId="50DF7EED">
            <w:pPr>
              <w:jc w:val="center"/>
              <w:rPr>
                <w:color w:val="000000"/>
                <w:sz w:val="18"/>
                <w:szCs w:val="18"/>
              </w:rPr>
            </w:pPr>
            <w:r>
              <w:rPr>
                <w:rFonts w:hint="eastAsia"/>
                <w:color w:val="000000"/>
                <w:sz w:val="18"/>
                <w:szCs w:val="18"/>
              </w:rPr>
              <w:t>√</w:t>
            </w:r>
          </w:p>
        </w:tc>
        <w:tc>
          <w:tcPr>
            <w:tcW w:w="1504" w:type="dxa"/>
            <w:tcBorders>
              <w:top w:val="nil"/>
              <w:left w:val="nil"/>
              <w:bottom w:val="single" w:color="auto" w:sz="8" w:space="0"/>
              <w:right w:val="single" w:color="auto" w:sz="8" w:space="0"/>
            </w:tcBorders>
            <w:shd w:val="clear" w:color="auto" w:fill="auto"/>
            <w:vAlign w:val="center"/>
          </w:tcPr>
          <w:p w14:paraId="29152D61">
            <w:pPr>
              <w:jc w:val="center"/>
              <w:rPr>
                <w:color w:val="000000"/>
                <w:sz w:val="18"/>
                <w:szCs w:val="18"/>
              </w:rPr>
            </w:pPr>
            <w:r>
              <w:rPr>
                <w:rFonts w:hint="eastAsia"/>
                <w:color w:val="000000"/>
                <w:sz w:val="18"/>
                <w:szCs w:val="18"/>
              </w:rPr>
              <w:t>5.6.2</w:t>
            </w:r>
          </w:p>
        </w:tc>
        <w:tc>
          <w:tcPr>
            <w:tcW w:w="1561" w:type="dxa"/>
            <w:tcBorders>
              <w:top w:val="nil"/>
              <w:left w:val="nil"/>
              <w:bottom w:val="single" w:color="auto" w:sz="8" w:space="0"/>
              <w:right w:val="single" w:color="auto" w:sz="8" w:space="0"/>
            </w:tcBorders>
            <w:shd w:val="clear" w:color="auto" w:fill="auto"/>
            <w:vAlign w:val="center"/>
          </w:tcPr>
          <w:p w14:paraId="2C7AAF91">
            <w:pPr>
              <w:jc w:val="center"/>
              <w:rPr>
                <w:color w:val="000000"/>
                <w:sz w:val="18"/>
                <w:szCs w:val="18"/>
              </w:rPr>
            </w:pPr>
            <w:r>
              <w:rPr>
                <w:rFonts w:hint="eastAsia"/>
                <w:color w:val="000000"/>
                <w:sz w:val="18"/>
                <w:szCs w:val="18"/>
              </w:rPr>
              <w:t>6.7.2.2</w:t>
            </w:r>
          </w:p>
        </w:tc>
      </w:tr>
      <w:tr w14:paraId="5F58F478">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2609E8D7">
            <w:pPr>
              <w:jc w:val="center"/>
              <w:rPr>
                <w:color w:val="000000"/>
                <w:sz w:val="18"/>
                <w:szCs w:val="18"/>
              </w:rPr>
            </w:pPr>
            <w:r>
              <w:rPr>
                <w:rFonts w:hint="eastAsia"/>
                <w:color w:val="000000"/>
                <w:sz w:val="18"/>
                <w:szCs w:val="18"/>
              </w:rPr>
              <w:t>22</w:t>
            </w:r>
          </w:p>
        </w:tc>
        <w:tc>
          <w:tcPr>
            <w:tcW w:w="2710" w:type="dxa"/>
            <w:tcBorders>
              <w:top w:val="nil"/>
              <w:left w:val="nil"/>
              <w:bottom w:val="single" w:color="auto" w:sz="8" w:space="0"/>
              <w:right w:val="single" w:color="auto" w:sz="8" w:space="0"/>
            </w:tcBorders>
            <w:shd w:val="clear" w:color="auto" w:fill="auto"/>
            <w:vAlign w:val="center"/>
          </w:tcPr>
          <w:p w14:paraId="65363647">
            <w:pPr>
              <w:jc w:val="center"/>
              <w:rPr>
                <w:color w:val="000000"/>
                <w:sz w:val="18"/>
                <w:szCs w:val="18"/>
              </w:rPr>
            </w:pPr>
            <w:r>
              <w:rPr>
                <w:rFonts w:hint="eastAsia"/>
                <w:color w:val="000000"/>
                <w:sz w:val="18"/>
                <w:szCs w:val="18"/>
              </w:rPr>
              <w:t>授时精度</w:t>
            </w:r>
          </w:p>
        </w:tc>
        <w:tc>
          <w:tcPr>
            <w:tcW w:w="1020" w:type="dxa"/>
            <w:tcBorders>
              <w:top w:val="nil"/>
              <w:left w:val="nil"/>
              <w:bottom w:val="single" w:color="auto" w:sz="8" w:space="0"/>
              <w:right w:val="single" w:color="auto" w:sz="8" w:space="0"/>
            </w:tcBorders>
            <w:shd w:val="clear" w:color="auto" w:fill="auto"/>
            <w:vAlign w:val="center"/>
          </w:tcPr>
          <w:p w14:paraId="6BCD2825">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tcPr>
          <w:p w14:paraId="3889F1ED">
            <w:pPr>
              <w:jc w:val="center"/>
              <w:rPr>
                <w:color w:val="000000"/>
                <w:sz w:val="18"/>
                <w:szCs w:val="18"/>
              </w:rPr>
            </w:pPr>
            <w:r>
              <w:rPr>
                <w:rFonts w:hint="eastAsia" w:ascii="Times New Roman" w:hAnsi="Times New Roman" w:cs="Times New Roman"/>
                <w:color w:val="000000"/>
                <w:sz w:val="20"/>
                <w:szCs w:val="20"/>
              </w:rPr>
              <w:t>-</w:t>
            </w:r>
          </w:p>
        </w:tc>
        <w:tc>
          <w:tcPr>
            <w:tcW w:w="1504" w:type="dxa"/>
            <w:tcBorders>
              <w:top w:val="nil"/>
              <w:left w:val="nil"/>
              <w:bottom w:val="single" w:color="auto" w:sz="8" w:space="0"/>
              <w:right w:val="single" w:color="auto" w:sz="8" w:space="0"/>
            </w:tcBorders>
            <w:shd w:val="clear" w:color="auto" w:fill="auto"/>
            <w:vAlign w:val="center"/>
          </w:tcPr>
          <w:p w14:paraId="1F12ECE3">
            <w:pPr>
              <w:jc w:val="center"/>
              <w:rPr>
                <w:color w:val="000000"/>
                <w:sz w:val="18"/>
                <w:szCs w:val="18"/>
              </w:rPr>
            </w:pPr>
            <w:r>
              <w:rPr>
                <w:rFonts w:hint="eastAsia"/>
                <w:color w:val="000000"/>
                <w:sz w:val="18"/>
                <w:szCs w:val="18"/>
              </w:rPr>
              <w:t>5.6.3</w:t>
            </w:r>
          </w:p>
        </w:tc>
        <w:tc>
          <w:tcPr>
            <w:tcW w:w="1561" w:type="dxa"/>
            <w:tcBorders>
              <w:top w:val="nil"/>
              <w:left w:val="nil"/>
              <w:bottom w:val="single" w:color="auto" w:sz="8" w:space="0"/>
              <w:right w:val="single" w:color="auto" w:sz="8" w:space="0"/>
            </w:tcBorders>
            <w:shd w:val="clear" w:color="auto" w:fill="auto"/>
            <w:vAlign w:val="center"/>
          </w:tcPr>
          <w:p w14:paraId="3416877F">
            <w:pPr>
              <w:jc w:val="center"/>
              <w:rPr>
                <w:color w:val="000000"/>
                <w:sz w:val="18"/>
                <w:szCs w:val="18"/>
              </w:rPr>
            </w:pPr>
            <w:r>
              <w:rPr>
                <w:rFonts w:hint="eastAsia"/>
                <w:color w:val="000000"/>
                <w:sz w:val="18"/>
                <w:szCs w:val="18"/>
              </w:rPr>
              <w:t>6.7.3</w:t>
            </w:r>
          </w:p>
        </w:tc>
      </w:tr>
      <w:tr w14:paraId="7D1D2797">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72A7778F">
            <w:pPr>
              <w:jc w:val="center"/>
              <w:rPr>
                <w:color w:val="000000"/>
                <w:sz w:val="18"/>
                <w:szCs w:val="18"/>
              </w:rPr>
            </w:pPr>
            <w:r>
              <w:rPr>
                <w:rFonts w:hint="eastAsia"/>
                <w:color w:val="000000"/>
                <w:sz w:val="18"/>
                <w:szCs w:val="18"/>
              </w:rPr>
              <w:t>23</w:t>
            </w:r>
          </w:p>
        </w:tc>
        <w:tc>
          <w:tcPr>
            <w:tcW w:w="2710" w:type="dxa"/>
            <w:tcBorders>
              <w:top w:val="nil"/>
              <w:left w:val="nil"/>
              <w:bottom w:val="single" w:color="auto" w:sz="8" w:space="0"/>
              <w:right w:val="single" w:color="auto" w:sz="8" w:space="0"/>
            </w:tcBorders>
            <w:shd w:val="clear" w:color="auto" w:fill="auto"/>
            <w:vAlign w:val="center"/>
          </w:tcPr>
          <w:p w14:paraId="1DA28C3B">
            <w:pPr>
              <w:jc w:val="center"/>
              <w:rPr>
                <w:color w:val="000000"/>
                <w:sz w:val="18"/>
                <w:szCs w:val="18"/>
              </w:rPr>
            </w:pPr>
            <w:r>
              <w:rPr>
                <w:rFonts w:hint="eastAsia"/>
                <w:color w:val="000000"/>
                <w:sz w:val="18"/>
                <w:szCs w:val="18"/>
              </w:rPr>
              <w:t>捕获灵敏度</w:t>
            </w:r>
          </w:p>
        </w:tc>
        <w:tc>
          <w:tcPr>
            <w:tcW w:w="1020" w:type="dxa"/>
            <w:tcBorders>
              <w:top w:val="nil"/>
              <w:left w:val="nil"/>
              <w:bottom w:val="single" w:color="auto" w:sz="8" w:space="0"/>
              <w:right w:val="single" w:color="auto" w:sz="8" w:space="0"/>
            </w:tcBorders>
            <w:shd w:val="clear" w:color="auto" w:fill="auto"/>
            <w:vAlign w:val="center"/>
          </w:tcPr>
          <w:p w14:paraId="7FEA80D5">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tcPr>
          <w:p w14:paraId="625D5D91">
            <w:pPr>
              <w:jc w:val="center"/>
              <w:rPr>
                <w:color w:val="000000"/>
                <w:sz w:val="18"/>
                <w:szCs w:val="18"/>
              </w:rPr>
            </w:pPr>
            <w:r>
              <w:rPr>
                <w:rFonts w:hint="eastAsia" w:ascii="Times New Roman" w:hAnsi="Times New Roman" w:cs="Times New Roman"/>
                <w:color w:val="000000"/>
                <w:sz w:val="20"/>
                <w:szCs w:val="20"/>
              </w:rPr>
              <w:t>-</w:t>
            </w:r>
          </w:p>
        </w:tc>
        <w:tc>
          <w:tcPr>
            <w:tcW w:w="1504" w:type="dxa"/>
            <w:tcBorders>
              <w:top w:val="nil"/>
              <w:left w:val="nil"/>
              <w:bottom w:val="single" w:color="auto" w:sz="8" w:space="0"/>
              <w:right w:val="single" w:color="auto" w:sz="8" w:space="0"/>
            </w:tcBorders>
            <w:shd w:val="clear" w:color="auto" w:fill="auto"/>
            <w:vAlign w:val="center"/>
          </w:tcPr>
          <w:p w14:paraId="32DB7CFC">
            <w:pPr>
              <w:jc w:val="center"/>
              <w:rPr>
                <w:color w:val="000000"/>
                <w:sz w:val="18"/>
                <w:szCs w:val="18"/>
              </w:rPr>
            </w:pPr>
            <w:r>
              <w:rPr>
                <w:rFonts w:hint="eastAsia"/>
                <w:color w:val="000000"/>
                <w:sz w:val="18"/>
                <w:szCs w:val="18"/>
              </w:rPr>
              <w:t>5.6.4</w:t>
            </w:r>
          </w:p>
        </w:tc>
        <w:tc>
          <w:tcPr>
            <w:tcW w:w="1561" w:type="dxa"/>
            <w:tcBorders>
              <w:top w:val="nil"/>
              <w:left w:val="nil"/>
              <w:bottom w:val="single" w:color="auto" w:sz="8" w:space="0"/>
              <w:right w:val="single" w:color="auto" w:sz="8" w:space="0"/>
            </w:tcBorders>
            <w:shd w:val="clear" w:color="auto" w:fill="auto"/>
            <w:vAlign w:val="center"/>
          </w:tcPr>
          <w:p w14:paraId="2956AC4F">
            <w:pPr>
              <w:jc w:val="center"/>
              <w:rPr>
                <w:color w:val="000000"/>
                <w:sz w:val="18"/>
                <w:szCs w:val="18"/>
              </w:rPr>
            </w:pPr>
            <w:r>
              <w:rPr>
                <w:rFonts w:hint="eastAsia"/>
                <w:color w:val="000000"/>
                <w:sz w:val="18"/>
                <w:szCs w:val="18"/>
              </w:rPr>
              <w:t>6.7.4</w:t>
            </w:r>
          </w:p>
        </w:tc>
      </w:tr>
      <w:tr w14:paraId="2308D5CE">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6284C457">
            <w:pPr>
              <w:jc w:val="center"/>
              <w:rPr>
                <w:color w:val="000000"/>
                <w:sz w:val="18"/>
                <w:szCs w:val="18"/>
              </w:rPr>
            </w:pPr>
            <w:r>
              <w:rPr>
                <w:rFonts w:hint="eastAsia"/>
                <w:color w:val="000000"/>
                <w:sz w:val="18"/>
                <w:szCs w:val="18"/>
              </w:rPr>
              <w:t>24</w:t>
            </w:r>
          </w:p>
        </w:tc>
        <w:tc>
          <w:tcPr>
            <w:tcW w:w="2710" w:type="dxa"/>
            <w:tcBorders>
              <w:top w:val="nil"/>
              <w:left w:val="nil"/>
              <w:bottom w:val="single" w:color="auto" w:sz="8" w:space="0"/>
              <w:right w:val="single" w:color="auto" w:sz="8" w:space="0"/>
            </w:tcBorders>
            <w:shd w:val="clear" w:color="auto" w:fill="auto"/>
            <w:vAlign w:val="center"/>
          </w:tcPr>
          <w:p w14:paraId="1A6D1A72">
            <w:pPr>
              <w:jc w:val="center"/>
              <w:rPr>
                <w:color w:val="000000"/>
                <w:sz w:val="18"/>
                <w:szCs w:val="18"/>
              </w:rPr>
            </w:pPr>
            <w:r>
              <w:rPr>
                <w:rFonts w:hint="eastAsia"/>
                <w:color w:val="000000"/>
                <w:sz w:val="18"/>
                <w:szCs w:val="18"/>
              </w:rPr>
              <w:t>跟踪灵敏度</w:t>
            </w:r>
          </w:p>
        </w:tc>
        <w:tc>
          <w:tcPr>
            <w:tcW w:w="1020" w:type="dxa"/>
            <w:tcBorders>
              <w:top w:val="nil"/>
              <w:left w:val="nil"/>
              <w:bottom w:val="single" w:color="auto" w:sz="8" w:space="0"/>
              <w:right w:val="single" w:color="auto" w:sz="8" w:space="0"/>
            </w:tcBorders>
            <w:shd w:val="clear" w:color="auto" w:fill="auto"/>
            <w:vAlign w:val="center"/>
          </w:tcPr>
          <w:p w14:paraId="669C3CE9">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tcPr>
          <w:p w14:paraId="12D9AB03">
            <w:pPr>
              <w:jc w:val="center"/>
              <w:rPr>
                <w:color w:val="000000"/>
                <w:sz w:val="18"/>
                <w:szCs w:val="18"/>
              </w:rPr>
            </w:pPr>
            <w:r>
              <w:rPr>
                <w:rFonts w:hint="eastAsia" w:ascii="Times New Roman" w:hAnsi="Times New Roman" w:cs="Times New Roman"/>
                <w:color w:val="000000"/>
                <w:sz w:val="20"/>
                <w:szCs w:val="20"/>
              </w:rPr>
              <w:t>-</w:t>
            </w:r>
          </w:p>
        </w:tc>
        <w:tc>
          <w:tcPr>
            <w:tcW w:w="1504" w:type="dxa"/>
            <w:tcBorders>
              <w:top w:val="nil"/>
              <w:left w:val="nil"/>
              <w:bottom w:val="single" w:color="auto" w:sz="8" w:space="0"/>
              <w:right w:val="single" w:color="auto" w:sz="8" w:space="0"/>
            </w:tcBorders>
            <w:shd w:val="clear" w:color="auto" w:fill="auto"/>
            <w:vAlign w:val="center"/>
          </w:tcPr>
          <w:p w14:paraId="438248F0">
            <w:pPr>
              <w:jc w:val="center"/>
              <w:rPr>
                <w:color w:val="000000"/>
                <w:sz w:val="18"/>
                <w:szCs w:val="18"/>
              </w:rPr>
            </w:pPr>
            <w:r>
              <w:rPr>
                <w:rFonts w:hint="eastAsia"/>
                <w:color w:val="000000"/>
                <w:sz w:val="18"/>
                <w:szCs w:val="18"/>
              </w:rPr>
              <w:t>5.6.5</w:t>
            </w:r>
          </w:p>
        </w:tc>
        <w:tc>
          <w:tcPr>
            <w:tcW w:w="1561" w:type="dxa"/>
            <w:tcBorders>
              <w:top w:val="nil"/>
              <w:left w:val="nil"/>
              <w:bottom w:val="single" w:color="auto" w:sz="8" w:space="0"/>
              <w:right w:val="single" w:color="auto" w:sz="8" w:space="0"/>
            </w:tcBorders>
            <w:shd w:val="clear" w:color="auto" w:fill="auto"/>
            <w:vAlign w:val="center"/>
          </w:tcPr>
          <w:p w14:paraId="7834F786">
            <w:pPr>
              <w:jc w:val="center"/>
              <w:rPr>
                <w:color w:val="000000"/>
                <w:sz w:val="18"/>
                <w:szCs w:val="18"/>
              </w:rPr>
            </w:pPr>
            <w:r>
              <w:rPr>
                <w:rFonts w:hint="eastAsia"/>
                <w:color w:val="000000"/>
                <w:sz w:val="18"/>
                <w:szCs w:val="18"/>
              </w:rPr>
              <w:t>6.7.5</w:t>
            </w:r>
          </w:p>
        </w:tc>
      </w:tr>
      <w:tr w14:paraId="34D2B60D">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24FEF8B5">
            <w:pPr>
              <w:jc w:val="center"/>
              <w:rPr>
                <w:color w:val="000000"/>
                <w:sz w:val="18"/>
                <w:szCs w:val="18"/>
              </w:rPr>
            </w:pPr>
            <w:r>
              <w:rPr>
                <w:rFonts w:hint="eastAsia"/>
                <w:color w:val="000000"/>
                <w:sz w:val="18"/>
                <w:szCs w:val="18"/>
              </w:rPr>
              <w:t>25</w:t>
            </w:r>
          </w:p>
        </w:tc>
        <w:tc>
          <w:tcPr>
            <w:tcW w:w="2710" w:type="dxa"/>
            <w:tcBorders>
              <w:top w:val="nil"/>
              <w:left w:val="nil"/>
              <w:bottom w:val="single" w:color="auto" w:sz="8" w:space="0"/>
              <w:right w:val="single" w:color="auto" w:sz="8" w:space="0"/>
            </w:tcBorders>
            <w:shd w:val="clear" w:color="auto" w:fill="auto"/>
            <w:vAlign w:val="center"/>
          </w:tcPr>
          <w:p w14:paraId="64980C6C">
            <w:pPr>
              <w:jc w:val="center"/>
              <w:rPr>
                <w:color w:val="000000"/>
                <w:sz w:val="18"/>
                <w:szCs w:val="18"/>
              </w:rPr>
            </w:pPr>
            <w:r>
              <w:rPr>
                <w:rFonts w:hint="eastAsia"/>
                <w:color w:val="000000"/>
                <w:sz w:val="18"/>
                <w:szCs w:val="18"/>
              </w:rPr>
              <w:t>冷启动首次定位时间</w:t>
            </w:r>
          </w:p>
        </w:tc>
        <w:tc>
          <w:tcPr>
            <w:tcW w:w="1020" w:type="dxa"/>
            <w:tcBorders>
              <w:top w:val="nil"/>
              <w:left w:val="nil"/>
              <w:bottom w:val="single" w:color="auto" w:sz="8" w:space="0"/>
              <w:right w:val="single" w:color="auto" w:sz="8" w:space="0"/>
            </w:tcBorders>
            <w:shd w:val="clear" w:color="auto" w:fill="auto"/>
            <w:vAlign w:val="center"/>
          </w:tcPr>
          <w:p w14:paraId="38216ED1">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tcPr>
          <w:p w14:paraId="75A50AC2">
            <w:pPr>
              <w:jc w:val="center"/>
              <w:rPr>
                <w:color w:val="000000"/>
                <w:sz w:val="18"/>
                <w:szCs w:val="18"/>
              </w:rPr>
            </w:pPr>
            <w:r>
              <w:rPr>
                <w:rFonts w:hint="eastAsia" w:ascii="Times New Roman" w:hAnsi="Times New Roman" w:cs="Times New Roman"/>
                <w:color w:val="000000"/>
                <w:sz w:val="20"/>
                <w:szCs w:val="20"/>
              </w:rPr>
              <w:t>-</w:t>
            </w:r>
          </w:p>
        </w:tc>
        <w:tc>
          <w:tcPr>
            <w:tcW w:w="1504" w:type="dxa"/>
            <w:tcBorders>
              <w:top w:val="nil"/>
              <w:left w:val="nil"/>
              <w:bottom w:val="single" w:color="auto" w:sz="8" w:space="0"/>
              <w:right w:val="single" w:color="auto" w:sz="8" w:space="0"/>
            </w:tcBorders>
            <w:shd w:val="clear" w:color="auto" w:fill="auto"/>
            <w:vAlign w:val="center"/>
          </w:tcPr>
          <w:p w14:paraId="579AB594">
            <w:pPr>
              <w:jc w:val="center"/>
              <w:rPr>
                <w:color w:val="000000"/>
                <w:sz w:val="18"/>
                <w:szCs w:val="18"/>
              </w:rPr>
            </w:pPr>
            <w:r>
              <w:rPr>
                <w:rFonts w:hint="eastAsia"/>
                <w:color w:val="000000"/>
                <w:sz w:val="18"/>
                <w:szCs w:val="18"/>
              </w:rPr>
              <w:t>5.6.6</w:t>
            </w:r>
          </w:p>
        </w:tc>
        <w:tc>
          <w:tcPr>
            <w:tcW w:w="1561" w:type="dxa"/>
            <w:tcBorders>
              <w:top w:val="nil"/>
              <w:left w:val="nil"/>
              <w:bottom w:val="single" w:color="auto" w:sz="8" w:space="0"/>
              <w:right w:val="single" w:color="auto" w:sz="8" w:space="0"/>
            </w:tcBorders>
            <w:shd w:val="clear" w:color="auto" w:fill="auto"/>
            <w:vAlign w:val="center"/>
          </w:tcPr>
          <w:p w14:paraId="6534C767">
            <w:pPr>
              <w:jc w:val="center"/>
              <w:rPr>
                <w:color w:val="000000"/>
                <w:sz w:val="18"/>
                <w:szCs w:val="18"/>
              </w:rPr>
            </w:pPr>
            <w:r>
              <w:rPr>
                <w:rFonts w:hint="eastAsia"/>
                <w:color w:val="000000"/>
                <w:sz w:val="18"/>
                <w:szCs w:val="18"/>
              </w:rPr>
              <w:t>6.7.6</w:t>
            </w:r>
          </w:p>
        </w:tc>
      </w:tr>
      <w:tr w14:paraId="0C271EC6">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129EDF53">
            <w:pPr>
              <w:jc w:val="center"/>
              <w:rPr>
                <w:color w:val="000000"/>
                <w:sz w:val="18"/>
                <w:szCs w:val="18"/>
              </w:rPr>
            </w:pPr>
            <w:r>
              <w:rPr>
                <w:rFonts w:hint="eastAsia"/>
                <w:color w:val="000000"/>
                <w:sz w:val="18"/>
                <w:szCs w:val="18"/>
              </w:rPr>
              <w:t>26</w:t>
            </w:r>
          </w:p>
        </w:tc>
        <w:tc>
          <w:tcPr>
            <w:tcW w:w="2710" w:type="dxa"/>
            <w:tcBorders>
              <w:top w:val="nil"/>
              <w:left w:val="nil"/>
              <w:bottom w:val="single" w:color="auto" w:sz="8" w:space="0"/>
              <w:right w:val="single" w:color="auto" w:sz="8" w:space="0"/>
            </w:tcBorders>
            <w:shd w:val="clear" w:color="auto" w:fill="auto"/>
            <w:vAlign w:val="center"/>
          </w:tcPr>
          <w:p w14:paraId="73EA3B61">
            <w:pPr>
              <w:jc w:val="center"/>
              <w:rPr>
                <w:color w:val="000000"/>
                <w:sz w:val="18"/>
                <w:szCs w:val="18"/>
              </w:rPr>
            </w:pPr>
            <w:r>
              <w:rPr>
                <w:rFonts w:hint="eastAsia"/>
                <w:color w:val="000000"/>
                <w:sz w:val="18"/>
                <w:szCs w:val="18"/>
              </w:rPr>
              <w:t>热启动首次定位时间</w:t>
            </w:r>
          </w:p>
        </w:tc>
        <w:tc>
          <w:tcPr>
            <w:tcW w:w="1020" w:type="dxa"/>
            <w:tcBorders>
              <w:top w:val="nil"/>
              <w:left w:val="nil"/>
              <w:bottom w:val="single" w:color="auto" w:sz="8" w:space="0"/>
              <w:right w:val="single" w:color="auto" w:sz="8" w:space="0"/>
            </w:tcBorders>
            <w:shd w:val="clear" w:color="auto" w:fill="auto"/>
            <w:vAlign w:val="center"/>
          </w:tcPr>
          <w:p w14:paraId="7BF4FC55">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tcPr>
          <w:p w14:paraId="00815214">
            <w:pPr>
              <w:jc w:val="center"/>
              <w:rPr>
                <w:color w:val="000000"/>
                <w:sz w:val="18"/>
                <w:szCs w:val="18"/>
              </w:rPr>
            </w:pPr>
            <w:r>
              <w:rPr>
                <w:rFonts w:hint="eastAsia" w:ascii="Times New Roman" w:hAnsi="Times New Roman" w:cs="Times New Roman"/>
                <w:color w:val="000000"/>
                <w:sz w:val="20"/>
                <w:szCs w:val="20"/>
              </w:rPr>
              <w:t>-</w:t>
            </w:r>
          </w:p>
        </w:tc>
        <w:tc>
          <w:tcPr>
            <w:tcW w:w="1504" w:type="dxa"/>
            <w:tcBorders>
              <w:top w:val="nil"/>
              <w:left w:val="nil"/>
              <w:bottom w:val="single" w:color="auto" w:sz="8" w:space="0"/>
              <w:right w:val="single" w:color="auto" w:sz="8" w:space="0"/>
            </w:tcBorders>
            <w:shd w:val="clear" w:color="auto" w:fill="auto"/>
            <w:vAlign w:val="center"/>
          </w:tcPr>
          <w:p w14:paraId="7C366CDA">
            <w:pPr>
              <w:jc w:val="center"/>
              <w:rPr>
                <w:color w:val="000000"/>
                <w:sz w:val="18"/>
                <w:szCs w:val="18"/>
              </w:rPr>
            </w:pPr>
            <w:r>
              <w:rPr>
                <w:rFonts w:hint="eastAsia"/>
                <w:color w:val="000000"/>
                <w:sz w:val="18"/>
                <w:szCs w:val="18"/>
              </w:rPr>
              <w:t>5.6.7</w:t>
            </w:r>
          </w:p>
        </w:tc>
        <w:tc>
          <w:tcPr>
            <w:tcW w:w="1561" w:type="dxa"/>
            <w:tcBorders>
              <w:top w:val="nil"/>
              <w:left w:val="nil"/>
              <w:bottom w:val="single" w:color="auto" w:sz="8" w:space="0"/>
              <w:right w:val="single" w:color="auto" w:sz="8" w:space="0"/>
            </w:tcBorders>
            <w:shd w:val="clear" w:color="auto" w:fill="auto"/>
            <w:vAlign w:val="center"/>
          </w:tcPr>
          <w:p w14:paraId="4EFAF21D">
            <w:pPr>
              <w:jc w:val="center"/>
              <w:rPr>
                <w:color w:val="000000"/>
                <w:sz w:val="18"/>
                <w:szCs w:val="18"/>
              </w:rPr>
            </w:pPr>
            <w:r>
              <w:rPr>
                <w:rFonts w:hint="eastAsia"/>
                <w:color w:val="000000"/>
                <w:sz w:val="18"/>
                <w:szCs w:val="18"/>
              </w:rPr>
              <w:t>6.7.7</w:t>
            </w:r>
          </w:p>
        </w:tc>
      </w:tr>
      <w:tr w14:paraId="4B2328B6">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53D45C68">
            <w:pPr>
              <w:jc w:val="center"/>
              <w:rPr>
                <w:color w:val="000000"/>
                <w:sz w:val="18"/>
                <w:szCs w:val="18"/>
              </w:rPr>
            </w:pPr>
            <w:r>
              <w:rPr>
                <w:rFonts w:hint="eastAsia"/>
                <w:color w:val="000000"/>
                <w:sz w:val="18"/>
                <w:szCs w:val="18"/>
              </w:rPr>
              <w:t>27</w:t>
            </w:r>
          </w:p>
        </w:tc>
        <w:tc>
          <w:tcPr>
            <w:tcW w:w="2710" w:type="dxa"/>
            <w:tcBorders>
              <w:top w:val="nil"/>
              <w:left w:val="nil"/>
              <w:bottom w:val="single" w:color="auto" w:sz="8" w:space="0"/>
              <w:right w:val="single" w:color="auto" w:sz="8" w:space="0"/>
            </w:tcBorders>
            <w:shd w:val="clear" w:color="auto" w:fill="auto"/>
            <w:vAlign w:val="center"/>
          </w:tcPr>
          <w:p w14:paraId="14E9F0C1">
            <w:pPr>
              <w:jc w:val="center"/>
              <w:rPr>
                <w:color w:val="000000"/>
                <w:sz w:val="18"/>
                <w:szCs w:val="18"/>
              </w:rPr>
            </w:pPr>
            <w:r>
              <w:rPr>
                <w:rFonts w:hint="eastAsia"/>
                <w:color w:val="000000"/>
                <w:sz w:val="18"/>
                <w:szCs w:val="18"/>
              </w:rPr>
              <w:t>输出功率</w:t>
            </w:r>
          </w:p>
        </w:tc>
        <w:tc>
          <w:tcPr>
            <w:tcW w:w="1020" w:type="dxa"/>
            <w:tcBorders>
              <w:top w:val="nil"/>
              <w:left w:val="nil"/>
              <w:bottom w:val="single" w:color="auto" w:sz="8" w:space="0"/>
              <w:right w:val="single" w:color="auto" w:sz="8" w:space="0"/>
            </w:tcBorders>
            <w:shd w:val="clear" w:color="auto" w:fill="auto"/>
            <w:vAlign w:val="center"/>
          </w:tcPr>
          <w:p w14:paraId="6DC5CFF6">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vAlign w:val="center"/>
          </w:tcPr>
          <w:p w14:paraId="58C804E1">
            <w:pPr>
              <w:jc w:val="center"/>
              <w:rPr>
                <w:color w:val="000000"/>
                <w:sz w:val="18"/>
                <w:szCs w:val="18"/>
              </w:rPr>
            </w:pPr>
            <w:r>
              <w:rPr>
                <w:rFonts w:hint="eastAsia"/>
                <w:color w:val="000000"/>
                <w:sz w:val="18"/>
                <w:szCs w:val="18"/>
              </w:rPr>
              <w:t>√</w:t>
            </w:r>
          </w:p>
        </w:tc>
        <w:tc>
          <w:tcPr>
            <w:tcW w:w="1504" w:type="dxa"/>
            <w:tcBorders>
              <w:top w:val="nil"/>
              <w:left w:val="nil"/>
              <w:bottom w:val="single" w:color="auto" w:sz="8" w:space="0"/>
              <w:right w:val="single" w:color="auto" w:sz="8" w:space="0"/>
            </w:tcBorders>
            <w:shd w:val="clear" w:color="auto" w:fill="auto"/>
            <w:vAlign w:val="center"/>
          </w:tcPr>
          <w:p w14:paraId="0C7016F7">
            <w:pPr>
              <w:jc w:val="center"/>
              <w:rPr>
                <w:color w:val="000000"/>
                <w:sz w:val="18"/>
                <w:szCs w:val="18"/>
              </w:rPr>
            </w:pPr>
            <w:r>
              <w:rPr>
                <w:rFonts w:hint="eastAsia"/>
                <w:color w:val="000000"/>
                <w:sz w:val="18"/>
                <w:szCs w:val="18"/>
              </w:rPr>
              <w:t>5.8.2</w:t>
            </w:r>
          </w:p>
        </w:tc>
        <w:tc>
          <w:tcPr>
            <w:tcW w:w="1561" w:type="dxa"/>
            <w:tcBorders>
              <w:top w:val="nil"/>
              <w:left w:val="nil"/>
              <w:bottom w:val="single" w:color="auto" w:sz="8" w:space="0"/>
              <w:right w:val="single" w:color="auto" w:sz="8" w:space="0"/>
            </w:tcBorders>
            <w:shd w:val="clear" w:color="auto" w:fill="auto"/>
            <w:vAlign w:val="center"/>
          </w:tcPr>
          <w:p w14:paraId="432DB26F">
            <w:pPr>
              <w:jc w:val="center"/>
              <w:rPr>
                <w:color w:val="000000"/>
                <w:sz w:val="18"/>
                <w:szCs w:val="18"/>
              </w:rPr>
            </w:pPr>
            <w:r>
              <w:rPr>
                <w:rFonts w:hint="eastAsia"/>
                <w:color w:val="000000"/>
                <w:sz w:val="18"/>
                <w:szCs w:val="18"/>
              </w:rPr>
              <w:t>6.8.1</w:t>
            </w:r>
          </w:p>
        </w:tc>
      </w:tr>
      <w:tr w14:paraId="23AE3C50">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1EDDA689">
            <w:pPr>
              <w:jc w:val="center"/>
              <w:rPr>
                <w:color w:val="000000"/>
                <w:sz w:val="18"/>
                <w:szCs w:val="18"/>
              </w:rPr>
            </w:pPr>
            <w:r>
              <w:rPr>
                <w:rFonts w:hint="eastAsia"/>
                <w:color w:val="000000"/>
                <w:sz w:val="18"/>
                <w:szCs w:val="18"/>
              </w:rPr>
              <w:t>28</w:t>
            </w:r>
          </w:p>
        </w:tc>
        <w:tc>
          <w:tcPr>
            <w:tcW w:w="2710" w:type="dxa"/>
            <w:tcBorders>
              <w:top w:val="nil"/>
              <w:left w:val="nil"/>
              <w:bottom w:val="single" w:color="auto" w:sz="8" w:space="0"/>
              <w:right w:val="single" w:color="auto" w:sz="8" w:space="0"/>
            </w:tcBorders>
            <w:shd w:val="clear" w:color="auto" w:fill="auto"/>
            <w:vAlign w:val="center"/>
          </w:tcPr>
          <w:p w14:paraId="384A9622">
            <w:pPr>
              <w:jc w:val="center"/>
              <w:rPr>
                <w:color w:val="000000"/>
                <w:sz w:val="18"/>
                <w:szCs w:val="18"/>
              </w:rPr>
            </w:pPr>
            <w:r>
              <w:rPr>
                <w:rFonts w:hint="eastAsia"/>
                <w:color w:val="000000"/>
                <w:sz w:val="18"/>
                <w:szCs w:val="18"/>
              </w:rPr>
              <w:t>接收灵敏度</w:t>
            </w:r>
          </w:p>
        </w:tc>
        <w:tc>
          <w:tcPr>
            <w:tcW w:w="1020" w:type="dxa"/>
            <w:tcBorders>
              <w:top w:val="nil"/>
              <w:left w:val="nil"/>
              <w:bottom w:val="single" w:color="auto" w:sz="8" w:space="0"/>
              <w:right w:val="single" w:color="auto" w:sz="8" w:space="0"/>
            </w:tcBorders>
            <w:shd w:val="clear" w:color="auto" w:fill="auto"/>
            <w:vAlign w:val="center"/>
          </w:tcPr>
          <w:p w14:paraId="206E7151">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vAlign w:val="center"/>
          </w:tcPr>
          <w:p w14:paraId="47FDF788">
            <w:pPr>
              <w:jc w:val="center"/>
              <w:rPr>
                <w:color w:val="000000"/>
                <w:sz w:val="18"/>
                <w:szCs w:val="18"/>
              </w:rPr>
            </w:pPr>
            <w:r>
              <w:rPr>
                <w:rFonts w:hint="eastAsia"/>
                <w:color w:val="000000"/>
                <w:sz w:val="18"/>
                <w:szCs w:val="18"/>
              </w:rPr>
              <w:t>√</w:t>
            </w:r>
          </w:p>
        </w:tc>
        <w:tc>
          <w:tcPr>
            <w:tcW w:w="1504" w:type="dxa"/>
            <w:tcBorders>
              <w:top w:val="nil"/>
              <w:left w:val="nil"/>
              <w:bottom w:val="single" w:color="auto" w:sz="8" w:space="0"/>
              <w:right w:val="single" w:color="auto" w:sz="8" w:space="0"/>
            </w:tcBorders>
            <w:shd w:val="clear" w:color="auto" w:fill="auto"/>
            <w:vAlign w:val="center"/>
          </w:tcPr>
          <w:p w14:paraId="750E04B4">
            <w:pPr>
              <w:jc w:val="center"/>
              <w:rPr>
                <w:color w:val="000000"/>
                <w:sz w:val="18"/>
                <w:szCs w:val="18"/>
              </w:rPr>
            </w:pPr>
            <w:r>
              <w:rPr>
                <w:rFonts w:hint="eastAsia"/>
                <w:color w:val="000000"/>
                <w:sz w:val="18"/>
                <w:szCs w:val="18"/>
              </w:rPr>
              <w:t>5.8.2</w:t>
            </w:r>
          </w:p>
        </w:tc>
        <w:tc>
          <w:tcPr>
            <w:tcW w:w="1561" w:type="dxa"/>
            <w:tcBorders>
              <w:top w:val="nil"/>
              <w:left w:val="nil"/>
              <w:bottom w:val="single" w:color="auto" w:sz="8" w:space="0"/>
              <w:right w:val="single" w:color="auto" w:sz="8" w:space="0"/>
            </w:tcBorders>
            <w:shd w:val="clear" w:color="auto" w:fill="auto"/>
            <w:vAlign w:val="center"/>
          </w:tcPr>
          <w:p w14:paraId="35D7679A">
            <w:pPr>
              <w:jc w:val="center"/>
              <w:rPr>
                <w:color w:val="000000"/>
                <w:sz w:val="18"/>
                <w:szCs w:val="18"/>
              </w:rPr>
            </w:pPr>
            <w:r>
              <w:rPr>
                <w:rFonts w:hint="eastAsia"/>
                <w:color w:val="000000"/>
                <w:sz w:val="18"/>
                <w:szCs w:val="18"/>
              </w:rPr>
              <w:t>6.8.2</w:t>
            </w:r>
          </w:p>
        </w:tc>
      </w:tr>
      <w:tr w14:paraId="457FA57C">
        <w:tblPrEx>
          <w:tblCellMar>
            <w:top w:w="0" w:type="dxa"/>
            <w:left w:w="108" w:type="dxa"/>
            <w:bottom w:w="0" w:type="dxa"/>
            <w:right w:w="108" w:type="dxa"/>
          </w:tblCellMar>
        </w:tblPrEx>
        <w:trPr>
          <w:trHeight w:val="284" w:hRule="atLeast"/>
          <w:jc w:val="center"/>
        </w:trPr>
        <w:tc>
          <w:tcPr>
            <w:tcW w:w="1020" w:type="dxa"/>
            <w:tcBorders>
              <w:top w:val="nil"/>
              <w:left w:val="single" w:color="auto" w:sz="8" w:space="0"/>
              <w:bottom w:val="single" w:color="auto" w:sz="8" w:space="0"/>
              <w:right w:val="single" w:color="auto" w:sz="8" w:space="0"/>
            </w:tcBorders>
            <w:shd w:val="clear" w:color="auto" w:fill="auto"/>
            <w:vAlign w:val="center"/>
          </w:tcPr>
          <w:p w14:paraId="6E4C99D5">
            <w:pPr>
              <w:jc w:val="center"/>
              <w:rPr>
                <w:color w:val="000000"/>
                <w:sz w:val="18"/>
                <w:szCs w:val="18"/>
              </w:rPr>
            </w:pPr>
            <w:r>
              <w:rPr>
                <w:rFonts w:hint="eastAsia"/>
                <w:color w:val="000000"/>
                <w:sz w:val="18"/>
                <w:szCs w:val="18"/>
              </w:rPr>
              <w:t>29</w:t>
            </w:r>
          </w:p>
        </w:tc>
        <w:tc>
          <w:tcPr>
            <w:tcW w:w="2710" w:type="dxa"/>
            <w:tcBorders>
              <w:top w:val="nil"/>
              <w:left w:val="nil"/>
              <w:bottom w:val="single" w:color="auto" w:sz="8" w:space="0"/>
              <w:right w:val="single" w:color="auto" w:sz="8" w:space="0"/>
            </w:tcBorders>
            <w:shd w:val="clear" w:color="auto" w:fill="auto"/>
            <w:vAlign w:val="center"/>
          </w:tcPr>
          <w:p w14:paraId="0BB6793E">
            <w:pPr>
              <w:jc w:val="center"/>
              <w:rPr>
                <w:color w:val="000000"/>
                <w:sz w:val="18"/>
                <w:szCs w:val="18"/>
              </w:rPr>
            </w:pPr>
            <w:r>
              <w:rPr>
                <w:rFonts w:hint="eastAsia"/>
                <w:color w:val="000000"/>
                <w:sz w:val="18"/>
                <w:szCs w:val="18"/>
              </w:rPr>
              <w:t>互换性</w:t>
            </w:r>
          </w:p>
        </w:tc>
        <w:tc>
          <w:tcPr>
            <w:tcW w:w="1020" w:type="dxa"/>
            <w:tcBorders>
              <w:top w:val="nil"/>
              <w:left w:val="nil"/>
              <w:bottom w:val="single" w:color="auto" w:sz="8" w:space="0"/>
              <w:right w:val="single" w:color="auto" w:sz="8" w:space="0"/>
            </w:tcBorders>
            <w:shd w:val="clear" w:color="auto" w:fill="auto"/>
            <w:vAlign w:val="center"/>
          </w:tcPr>
          <w:p w14:paraId="7255F28C">
            <w:pPr>
              <w:jc w:val="center"/>
              <w:rPr>
                <w:color w:val="000000"/>
                <w:sz w:val="18"/>
                <w:szCs w:val="18"/>
              </w:rPr>
            </w:pPr>
            <w:r>
              <w:rPr>
                <w:rFonts w:hint="eastAsia"/>
                <w:color w:val="000000"/>
                <w:sz w:val="18"/>
                <w:szCs w:val="18"/>
              </w:rPr>
              <w:t>√</w:t>
            </w:r>
          </w:p>
        </w:tc>
        <w:tc>
          <w:tcPr>
            <w:tcW w:w="1020" w:type="dxa"/>
            <w:tcBorders>
              <w:top w:val="nil"/>
              <w:left w:val="nil"/>
              <w:bottom w:val="single" w:color="auto" w:sz="8" w:space="0"/>
              <w:right w:val="single" w:color="auto" w:sz="8" w:space="0"/>
            </w:tcBorders>
            <w:shd w:val="clear" w:color="auto" w:fill="auto"/>
            <w:vAlign w:val="center"/>
          </w:tcPr>
          <w:p w14:paraId="6646D972">
            <w:pPr>
              <w:jc w:val="center"/>
              <w:rPr>
                <w:color w:val="000000"/>
                <w:sz w:val="18"/>
                <w:szCs w:val="18"/>
              </w:rPr>
            </w:pPr>
            <w:r>
              <w:rPr>
                <w:rFonts w:hint="eastAsia"/>
                <w:color w:val="000000"/>
                <w:sz w:val="18"/>
                <w:szCs w:val="18"/>
              </w:rPr>
              <w:t>√</w:t>
            </w:r>
          </w:p>
        </w:tc>
        <w:tc>
          <w:tcPr>
            <w:tcW w:w="1504" w:type="dxa"/>
            <w:tcBorders>
              <w:top w:val="nil"/>
              <w:left w:val="nil"/>
              <w:bottom w:val="single" w:color="auto" w:sz="8" w:space="0"/>
              <w:right w:val="single" w:color="auto" w:sz="8" w:space="0"/>
            </w:tcBorders>
            <w:shd w:val="clear" w:color="auto" w:fill="auto"/>
            <w:vAlign w:val="center"/>
          </w:tcPr>
          <w:p w14:paraId="4710DC88">
            <w:pPr>
              <w:jc w:val="center"/>
              <w:rPr>
                <w:color w:val="000000"/>
                <w:sz w:val="18"/>
                <w:szCs w:val="18"/>
              </w:rPr>
            </w:pPr>
            <w:r>
              <w:rPr>
                <w:rFonts w:hint="eastAsia"/>
                <w:color w:val="000000"/>
                <w:sz w:val="18"/>
                <w:szCs w:val="18"/>
              </w:rPr>
              <w:t>5.9.7</w:t>
            </w:r>
          </w:p>
        </w:tc>
        <w:tc>
          <w:tcPr>
            <w:tcW w:w="1561" w:type="dxa"/>
            <w:tcBorders>
              <w:top w:val="nil"/>
              <w:left w:val="nil"/>
              <w:bottom w:val="single" w:color="auto" w:sz="8" w:space="0"/>
              <w:right w:val="single" w:color="auto" w:sz="8" w:space="0"/>
            </w:tcBorders>
            <w:shd w:val="clear" w:color="auto" w:fill="auto"/>
            <w:vAlign w:val="center"/>
          </w:tcPr>
          <w:p w14:paraId="6CE91962">
            <w:pPr>
              <w:jc w:val="center"/>
              <w:rPr>
                <w:color w:val="000000"/>
                <w:sz w:val="18"/>
                <w:szCs w:val="18"/>
              </w:rPr>
            </w:pPr>
            <w:r>
              <w:rPr>
                <w:rFonts w:hint="eastAsia"/>
                <w:color w:val="000000"/>
                <w:sz w:val="18"/>
                <w:szCs w:val="18"/>
              </w:rPr>
              <w:t>6.9</w:t>
            </w:r>
          </w:p>
        </w:tc>
      </w:tr>
      <w:tr w14:paraId="082E2231">
        <w:tblPrEx>
          <w:tblCellMar>
            <w:top w:w="0" w:type="dxa"/>
            <w:left w:w="108" w:type="dxa"/>
            <w:bottom w:w="0" w:type="dxa"/>
            <w:right w:w="108" w:type="dxa"/>
          </w:tblCellMar>
        </w:tblPrEx>
        <w:trPr>
          <w:trHeight w:val="284" w:hRule="atLeast"/>
          <w:jc w:val="center"/>
        </w:trPr>
        <w:tc>
          <w:tcPr>
            <w:tcW w:w="8835" w:type="dxa"/>
            <w:gridSpan w:val="6"/>
            <w:tcBorders>
              <w:top w:val="single" w:color="auto" w:sz="8" w:space="0"/>
              <w:left w:val="single" w:color="auto" w:sz="8" w:space="0"/>
              <w:bottom w:val="single" w:color="auto" w:sz="8" w:space="0"/>
              <w:right w:val="single" w:color="auto" w:sz="8" w:space="0"/>
            </w:tcBorders>
            <w:shd w:val="clear" w:color="auto" w:fill="auto"/>
            <w:vAlign w:val="center"/>
          </w:tcPr>
          <w:p w14:paraId="4CFC5AA4">
            <w:pPr>
              <w:jc w:val="both"/>
              <w:rPr>
                <w:color w:val="000000"/>
                <w:sz w:val="18"/>
                <w:szCs w:val="18"/>
              </w:rPr>
            </w:pPr>
            <w:r>
              <w:rPr>
                <w:rFonts w:hint="eastAsia"/>
                <w:color w:val="000000"/>
                <w:sz w:val="18"/>
                <w:szCs w:val="18"/>
              </w:rPr>
              <w:t>注：检验中“√”表示应做的项目。</w:t>
            </w:r>
          </w:p>
        </w:tc>
      </w:tr>
    </w:tbl>
    <w:p w14:paraId="6CE278C1">
      <w:pPr>
        <w:pStyle w:val="2"/>
      </w:pPr>
    </w:p>
    <w:p w14:paraId="473F84D7">
      <w:pPr>
        <w:pStyle w:val="2"/>
        <w:jc w:val="center"/>
      </w:pPr>
      <w:r>
        <w:pict>
          <v:rect id="_x0000_i1028" o:spt="1" style="height:1pt;width:248.1pt;" fillcolor="#000000" filled="t" stroked="f" coordsize="21600,21600" o:hr="t" o:hrstd="t" o:hrnoshade="t" o:hrpct="536" o:hralign="center">
            <v:path/>
            <v:fill on="t" focussize="0,0"/>
            <v:stroke on="f"/>
            <v:imagedata o:title=""/>
            <o:lock v:ext="edit"/>
            <w10:wrap type="none"/>
            <w10:anchorlock/>
          </v:rect>
        </w:pict>
      </w:r>
    </w:p>
    <w:p w14:paraId="6AD80857">
      <w:pPr>
        <w:pStyle w:val="2"/>
        <w:jc w:val="center"/>
      </w:pPr>
    </w:p>
    <w:sectPr>
      <w:headerReference r:id="rId10" w:type="default"/>
      <w:footerReference r:id="rId11" w:type="default"/>
      <w:pgSz w:w="11906" w:h="16838"/>
      <w:pgMar w:top="1440" w:right="849" w:bottom="1440" w:left="1800" w:header="851" w:footer="992" w:gutter="0"/>
      <w:pgNumType w:start="1" w:chapStyle="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OPPOSans">
    <w:altName w:val="微软雅黑"/>
    <w:panose1 w:val="00000000000000000000"/>
    <w:charset w:val="86"/>
    <w:family w:val="swiss"/>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MS Mincho">
    <w:panose1 w:val="02020609040205080304"/>
    <w:charset w:val="80"/>
    <w:family w:val="modern"/>
    <w:pitch w:val="default"/>
    <w:sig w:usb0="A00002BF" w:usb1="68C7FCFB" w:usb2="00000010" w:usb3="00000000" w:csb0="4002009F" w:csb1="DFD70000"/>
  </w:font>
  <w:font w:name="TimesNewRomanPSMT">
    <w:altName w:val="Times New Roman"/>
    <w:panose1 w:val="00000000000000000000"/>
    <w:charset w:val="00"/>
    <w:family w:val="roman"/>
    <w:pitch w:val="default"/>
    <w:sig w:usb0="00000000" w:usb1="00000000" w:usb2="00000000" w:usb3="00000000" w:csb0="00040001" w:csb1="00000000"/>
  </w:font>
  <w:font w:name="Cambria Math">
    <w:panose1 w:val="02040503050406030204"/>
    <w:charset w:val="00"/>
    <w:family w:val="roman"/>
    <w:pitch w:val="default"/>
    <w:sig w:usb0="E00006FF" w:usb1="420024FF" w:usb2="02000000" w:usb3="00000000" w:csb0="2000019F" w:csb1="00000000"/>
  </w:font>
  <w:font w:name="SymbolMT">
    <w:altName w:val="Times New Roman"/>
    <w:panose1 w:val="00000000000000000000"/>
    <w:charset w:val="00"/>
    <w:family w:val="roman"/>
    <w:pitch w:val="default"/>
    <w:sig w:usb0="00000000" w:usb1="00000000" w:usb2="00000000" w:usb3="00000000" w:csb0="00000000" w:csb1="00000000"/>
  </w:font>
  <w:font w:name="TimesNewRomanPS-ItalicMT">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138849"/>
    </w:sdtPr>
    <w:sdtContent>
      <w:p w14:paraId="4DEF6320">
        <w:pPr>
          <w:pStyle w:val="15"/>
          <w:jc w:val="right"/>
        </w:pPr>
        <w:r>
          <w:fldChar w:fldCharType="begin"/>
        </w:r>
        <w:r>
          <w:instrText xml:space="preserve"> PAGE   \* MERGEFORMAT </w:instrText>
        </w:r>
        <w:r>
          <w:fldChar w:fldCharType="separate"/>
        </w:r>
        <w:r>
          <w:rPr>
            <w:lang w:val="zh-CN"/>
          </w:rPr>
          <w:t>II</w:t>
        </w:r>
        <w:r>
          <w:rPr>
            <w:lang w:val="zh-CN"/>
          </w:rPr>
          <w:fldChar w:fldCharType="end"/>
        </w:r>
      </w:p>
    </w:sdtContent>
  </w:sdt>
  <w:p w14:paraId="73BA9917">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90D0D">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27B22">
    <w:pPr>
      <w:pStyle w:val="15"/>
      <w:jc w:val="right"/>
    </w:pPr>
  </w:p>
  <w:p w14:paraId="653AC095">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016BF">
    <w:pPr>
      <w:pStyle w:val="15"/>
      <w:jc w:val="right"/>
    </w:pPr>
    <w:r>
      <w:fldChar w:fldCharType="begin"/>
    </w:r>
    <w:r>
      <w:instrText xml:space="preserve"> PAGE   \* MERGEFORMAT </w:instrText>
    </w:r>
    <w:r>
      <w:fldChar w:fldCharType="separate"/>
    </w:r>
    <w:r>
      <w:rPr>
        <w:lang w:val="zh-CN"/>
      </w:rPr>
      <w:t>18</w:t>
    </w:r>
    <w:r>
      <w:rPr>
        <w:lang w:val="zh-CN"/>
      </w:rPr>
      <w:fldChar w:fldCharType="end"/>
    </w:r>
  </w:p>
  <w:p w14:paraId="0BA58C36">
    <w:pPr>
      <w:pStyle w:val="15"/>
    </w:pPr>
  </w:p>
  <w:p w14:paraId="6900999B"/>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34E10">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9B527">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5A44E">
    <w:pPr>
      <w:pStyle w:val="1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C9989">
    <w:pPr>
      <w:pStyle w:val="1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D1E50">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C7CE26"/>
    <w:multiLevelType w:val="singleLevel"/>
    <w:tmpl w:val="A8C7CE26"/>
    <w:lvl w:ilvl="0" w:tentative="0">
      <w:start w:val="1"/>
      <w:numFmt w:val="lowerLetter"/>
      <w:suff w:val="space"/>
      <w:lvlText w:val="%1)"/>
      <w:lvlJc w:val="left"/>
    </w:lvl>
  </w:abstractNum>
  <w:abstractNum w:abstractNumId="1">
    <w:nsid w:val="0C3F7268"/>
    <w:multiLevelType w:val="singleLevel"/>
    <w:tmpl w:val="0C3F7268"/>
    <w:lvl w:ilvl="0" w:tentative="0">
      <w:start w:val="1"/>
      <w:numFmt w:val="lowerLetter"/>
      <w:suff w:val="space"/>
      <w:lvlText w:val="%1)"/>
      <w:lvlJc w:val="left"/>
    </w:lvl>
  </w:abstractNum>
  <w:abstractNum w:abstractNumId="2">
    <w:nsid w:val="0DDE2B46"/>
    <w:multiLevelType w:val="multilevel"/>
    <w:tmpl w:val="0DDE2B46"/>
    <w:lvl w:ilvl="0" w:tentative="0">
      <w:start w:val="1"/>
      <w:numFmt w:val="lowerLetter"/>
      <w:pStyle w:val="53"/>
      <w:suff w:val="nothing"/>
      <w:lvlText w:val="%1   "/>
      <w:lvlJc w:val="left"/>
      <w:pPr>
        <w:ind w:left="544" w:hanging="181"/>
      </w:pPr>
      <w:rPr>
        <w:rFonts w:hint="eastAsia" w:ascii="宋体" w:hAns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3">
    <w:nsid w:val="11735E2F"/>
    <w:multiLevelType w:val="singleLevel"/>
    <w:tmpl w:val="11735E2F"/>
    <w:lvl w:ilvl="0" w:tentative="0">
      <w:start w:val="1"/>
      <w:numFmt w:val="lowerLetter"/>
      <w:pStyle w:val="112"/>
      <w:suff w:val="space"/>
      <w:lvlText w:val="%1)"/>
      <w:lvlJc w:val="left"/>
    </w:lvl>
  </w:abstractNum>
  <w:abstractNum w:abstractNumId="4">
    <w:nsid w:val="183914D1"/>
    <w:multiLevelType w:val="singleLevel"/>
    <w:tmpl w:val="183914D1"/>
    <w:lvl w:ilvl="0" w:tentative="0">
      <w:start w:val="1"/>
      <w:numFmt w:val="lowerLetter"/>
      <w:suff w:val="space"/>
      <w:lvlText w:val="%1)"/>
      <w:lvlJc w:val="left"/>
    </w:lvl>
  </w:abstractNum>
  <w:abstractNum w:abstractNumId="5">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28"/>
      <w:suff w:val="nothing"/>
      <w:lvlText w:val="%1.%2　"/>
      <w:lvlJc w:val="left"/>
      <w:pPr>
        <w:ind w:left="567"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709" w:firstLine="0"/>
      </w:pPr>
      <w:rPr>
        <w:rFonts w:hint="eastAsia" w:ascii="黑体" w:hAnsi="Times New Roman" w:eastAsia="黑体"/>
        <w:b w:val="0"/>
        <w:i w:val="0"/>
        <w:sz w:val="21"/>
      </w:rPr>
    </w:lvl>
    <w:lvl w:ilvl="3" w:tentative="0">
      <w:start w:val="1"/>
      <w:numFmt w:val="decimal"/>
      <w:pStyle w:val="77"/>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3633C3B"/>
    <w:multiLevelType w:val="multilevel"/>
    <w:tmpl w:val="23633C3B"/>
    <w:lvl w:ilvl="0" w:tentative="0">
      <w:start w:val="1"/>
      <w:numFmt w:val="lowerLetter"/>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7">
    <w:nsid w:val="2B1C7AF1"/>
    <w:multiLevelType w:val="singleLevel"/>
    <w:tmpl w:val="2B1C7AF1"/>
    <w:lvl w:ilvl="0" w:tentative="0">
      <w:start w:val="1"/>
      <w:numFmt w:val="lowerLetter"/>
      <w:suff w:val="space"/>
      <w:lvlText w:val="%1)"/>
      <w:lvlJc w:val="left"/>
    </w:lvl>
  </w:abstractNum>
  <w:abstractNum w:abstractNumId="8">
    <w:nsid w:val="2C5917C3"/>
    <w:multiLevelType w:val="multilevel"/>
    <w:tmpl w:val="2C5917C3"/>
    <w:lvl w:ilvl="0" w:tentative="0">
      <w:start w:val="1"/>
      <w:numFmt w:val="none"/>
      <w:pStyle w:val="43"/>
      <w:suff w:val="nothing"/>
      <w:lvlText w:val="%1——"/>
      <w:lvlJc w:val="left"/>
      <w:pPr>
        <w:ind w:left="833" w:hanging="408"/>
      </w:pPr>
      <w:rPr>
        <w:rFonts w:hint="eastAsia"/>
      </w:rPr>
    </w:lvl>
    <w:lvl w:ilvl="1" w:tentative="0">
      <w:start w:val="1"/>
      <w:numFmt w:val="bullet"/>
      <w:pStyle w:val="44"/>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9">
    <w:nsid w:val="3616B159"/>
    <w:multiLevelType w:val="singleLevel"/>
    <w:tmpl w:val="3616B159"/>
    <w:lvl w:ilvl="0" w:tentative="0">
      <w:start w:val="1"/>
      <w:numFmt w:val="lowerLetter"/>
      <w:suff w:val="space"/>
      <w:lvlText w:val="%1)"/>
      <w:lvlJc w:val="left"/>
    </w:lvl>
  </w:abstractNum>
  <w:abstractNum w:abstractNumId="10">
    <w:nsid w:val="4263229A"/>
    <w:multiLevelType w:val="multilevel"/>
    <w:tmpl w:val="4263229A"/>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pStyle w:val="84"/>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1">
    <w:nsid w:val="44C50F90"/>
    <w:multiLevelType w:val="multilevel"/>
    <w:tmpl w:val="44C50F90"/>
    <w:lvl w:ilvl="0" w:tentative="0">
      <w:start w:val="1"/>
      <w:numFmt w:val="lowerLetter"/>
      <w:pStyle w:val="46"/>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45"/>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47"/>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12">
    <w:nsid w:val="45B4535E"/>
    <w:multiLevelType w:val="multilevel"/>
    <w:tmpl w:val="45B4535E"/>
    <w:lvl w:ilvl="0" w:tentative="0">
      <w:start w:val="1"/>
      <w:numFmt w:val="decimal"/>
      <w:suff w:val="space"/>
      <w:lvlText w:val="%1."/>
      <w:lvlJc w:val="left"/>
      <w:pPr>
        <w:ind w:left="425" w:hanging="425"/>
      </w:pPr>
      <w:rPr>
        <w:rFonts w:hint="eastAsia" w:ascii="黑体" w:hAnsi="黑体" w:eastAsia="黑体"/>
      </w:rPr>
    </w:lvl>
    <w:lvl w:ilvl="1" w:tentative="0">
      <w:start w:val="1"/>
      <w:numFmt w:val="decimal"/>
      <w:pStyle w:val="4"/>
      <w:suff w:val="space"/>
      <w:lvlText w:val="%1.%2."/>
      <w:lvlJc w:val="left"/>
      <w:pPr>
        <w:ind w:left="567" w:hanging="567"/>
      </w:pPr>
      <w:rPr>
        <w:rFonts w:hint="eastAsia"/>
      </w:rPr>
    </w:lvl>
    <w:lvl w:ilvl="2" w:tentative="0">
      <w:start w:val="1"/>
      <w:numFmt w:val="decimal"/>
      <w:pStyle w:val="5"/>
      <w:suff w:val="space"/>
      <w:lvlText w:val="%1.%2.%3."/>
      <w:lvlJc w:val="left"/>
      <w:pPr>
        <w:ind w:left="1702"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3">
    <w:nsid w:val="4892412E"/>
    <w:multiLevelType w:val="multilevel"/>
    <w:tmpl w:val="4892412E"/>
    <w:lvl w:ilvl="0" w:tentative="0">
      <w:start w:val="1"/>
      <w:numFmt w:val="decimal"/>
      <w:pStyle w:val="35"/>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34"/>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36"/>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557C2AF5"/>
    <w:multiLevelType w:val="multilevel"/>
    <w:tmpl w:val="557C2AF5"/>
    <w:lvl w:ilvl="0" w:tentative="0">
      <w:start w:val="1"/>
      <w:numFmt w:val="decimal"/>
      <w:pStyle w:val="113"/>
      <w:suff w:val="nothing"/>
      <w:lvlText w:val="图%1　"/>
      <w:lvlJc w:val="left"/>
      <w:pPr>
        <w:ind w:left="1844"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5">
    <w:nsid w:val="646260FA"/>
    <w:multiLevelType w:val="multilevel"/>
    <w:tmpl w:val="646260FA"/>
    <w:lvl w:ilvl="0" w:tentative="0">
      <w:start w:val="1"/>
      <w:numFmt w:val="decimal"/>
      <w:pStyle w:val="54"/>
      <w:suff w:val="nothing"/>
      <w:lvlText w:val="表%1　"/>
      <w:lvlJc w:val="left"/>
      <w:pPr>
        <w:ind w:left="3969" w:firstLine="0"/>
      </w:pPr>
      <w:rPr>
        <w:rFonts w:hint="eastAsia" w:ascii="黑体" w:hAnsi="Times New Roman" w:eastAsia="黑体"/>
        <w:b w:val="0"/>
        <w:i w:val="0"/>
        <w:color w:val="auto"/>
        <w:sz w:val="21"/>
        <w:lang w:val="en-US"/>
      </w:rPr>
    </w:lvl>
    <w:lvl w:ilvl="1" w:tentative="0">
      <w:start w:val="1"/>
      <w:numFmt w:val="decimal"/>
      <w:lvlText w:val="%1.%2"/>
      <w:lvlJc w:val="left"/>
      <w:pPr>
        <w:tabs>
          <w:tab w:val="left" w:pos="1417"/>
        </w:tabs>
        <w:ind w:left="1417" w:hanging="567"/>
      </w:pPr>
      <w:rPr>
        <w:rFonts w:hint="eastAsia"/>
      </w:rPr>
    </w:lvl>
    <w:lvl w:ilvl="2" w:tentative="0">
      <w:start w:val="1"/>
      <w:numFmt w:val="decimal"/>
      <w:lvlText w:val="%1.%2.%3"/>
      <w:lvlJc w:val="left"/>
      <w:pPr>
        <w:tabs>
          <w:tab w:val="left" w:pos="1843"/>
        </w:tabs>
        <w:ind w:left="1843" w:hanging="567"/>
      </w:pPr>
      <w:rPr>
        <w:rFonts w:hint="eastAsia"/>
      </w:rPr>
    </w:lvl>
    <w:lvl w:ilvl="3" w:tentative="0">
      <w:start w:val="1"/>
      <w:numFmt w:val="decimal"/>
      <w:lvlText w:val="%1.%2.%3.%4"/>
      <w:lvlJc w:val="left"/>
      <w:pPr>
        <w:tabs>
          <w:tab w:val="left" w:pos="2409"/>
        </w:tabs>
        <w:ind w:left="2409" w:hanging="708"/>
      </w:pPr>
      <w:rPr>
        <w:rFonts w:hint="eastAsia"/>
      </w:rPr>
    </w:lvl>
    <w:lvl w:ilvl="4" w:tentative="0">
      <w:start w:val="1"/>
      <w:numFmt w:val="decimal"/>
      <w:lvlText w:val="%1.%2.%3.%4.%5"/>
      <w:lvlJc w:val="left"/>
      <w:pPr>
        <w:tabs>
          <w:tab w:val="left" w:pos="2976"/>
        </w:tabs>
        <w:ind w:left="2976" w:hanging="850"/>
      </w:pPr>
      <w:rPr>
        <w:rFonts w:hint="eastAsia"/>
      </w:rPr>
    </w:lvl>
    <w:lvl w:ilvl="5" w:tentative="0">
      <w:start w:val="1"/>
      <w:numFmt w:val="decimal"/>
      <w:lvlText w:val="%1.%2.%3.%4.%5.%6"/>
      <w:lvlJc w:val="left"/>
      <w:pPr>
        <w:tabs>
          <w:tab w:val="left" w:pos="3685"/>
        </w:tabs>
        <w:ind w:left="3685" w:hanging="1134"/>
      </w:pPr>
      <w:rPr>
        <w:rFonts w:hint="eastAsia"/>
      </w:rPr>
    </w:lvl>
    <w:lvl w:ilvl="6" w:tentative="0">
      <w:start w:val="1"/>
      <w:numFmt w:val="decimal"/>
      <w:lvlText w:val="%1.%2.%3.%4.%5.%6.%7"/>
      <w:lvlJc w:val="left"/>
      <w:pPr>
        <w:tabs>
          <w:tab w:val="left" w:pos="4252"/>
        </w:tabs>
        <w:ind w:left="4252" w:hanging="1276"/>
      </w:pPr>
      <w:rPr>
        <w:rFonts w:hint="eastAsia"/>
      </w:rPr>
    </w:lvl>
    <w:lvl w:ilvl="7" w:tentative="0">
      <w:start w:val="1"/>
      <w:numFmt w:val="decimal"/>
      <w:lvlText w:val="%1.%2.%3.%4.%5.%6.%7.%8"/>
      <w:lvlJc w:val="left"/>
      <w:pPr>
        <w:tabs>
          <w:tab w:val="left" w:pos="4819"/>
        </w:tabs>
        <w:ind w:left="4819" w:hanging="1418"/>
      </w:pPr>
      <w:rPr>
        <w:rFonts w:hint="eastAsia"/>
      </w:rPr>
    </w:lvl>
    <w:lvl w:ilvl="8" w:tentative="0">
      <w:start w:val="1"/>
      <w:numFmt w:val="decimal"/>
      <w:lvlText w:val="%1.%2.%3.%4.%5.%6.%7.%8.%9"/>
      <w:lvlJc w:val="left"/>
      <w:pPr>
        <w:tabs>
          <w:tab w:val="left" w:pos="5527"/>
        </w:tabs>
        <w:ind w:left="5527" w:hanging="1700"/>
      </w:pPr>
      <w:rPr>
        <w:rFonts w:hint="eastAsia"/>
      </w:rPr>
    </w:lvl>
  </w:abstractNum>
  <w:abstractNum w:abstractNumId="16">
    <w:nsid w:val="657D3FBC"/>
    <w:multiLevelType w:val="multilevel"/>
    <w:tmpl w:val="657D3FBC"/>
    <w:lvl w:ilvl="0" w:tentative="0">
      <w:start w:val="1"/>
      <w:numFmt w:val="upperLetter"/>
      <w:pStyle w:val="75"/>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82"/>
      <w:suff w:val="nothing"/>
      <w:lvlText w:val="%1.%2.%3　"/>
      <w:lvlJc w:val="left"/>
      <w:pPr>
        <w:ind w:left="0" w:firstLine="0"/>
      </w:pPr>
      <w:rPr>
        <w:rFonts w:hint="eastAsia" w:ascii="黑体" w:hAnsi="Times New Roman" w:eastAsia="黑体"/>
        <w:b w:val="0"/>
        <w:i w:val="0"/>
        <w:sz w:val="21"/>
      </w:rPr>
    </w:lvl>
    <w:lvl w:ilvl="3" w:tentative="0">
      <w:start w:val="1"/>
      <w:numFmt w:val="decimal"/>
      <w:pStyle w:val="76"/>
      <w:suff w:val="nothing"/>
      <w:lvlText w:val="%1.%2.%3.%4　"/>
      <w:lvlJc w:val="left"/>
      <w:pPr>
        <w:ind w:left="0" w:firstLine="0"/>
      </w:pPr>
      <w:rPr>
        <w:rFonts w:hint="eastAsia" w:ascii="黑体" w:hAnsi="Times New Roman" w:eastAsia="黑体"/>
        <w:b w:val="0"/>
        <w:i w:val="0"/>
        <w:sz w:val="21"/>
      </w:rPr>
    </w:lvl>
    <w:lvl w:ilvl="4" w:tentative="0">
      <w:start w:val="1"/>
      <w:numFmt w:val="decimal"/>
      <w:pStyle w:val="78"/>
      <w:suff w:val="nothing"/>
      <w:lvlText w:val="%1.%2.%3.%4.%5　"/>
      <w:lvlJc w:val="left"/>
      <w:pPr>
        <w:ind w:left="0" w:firstLine="0"/>
      </w:pPr>
      <w:rPr>
        <w:rFonts w:hint="eastAsia" w:ascii="黑体" w:hAnsi="Times New Roman" w:eastAsia="黑体"/>
        <w:b w:val="0"/>
        <w:i w:val="0"/>
        <w:sz w:val="21"/>
      </w:rPr>
    </w:lvl>
    <w:lvl w:ilvl="5" w:tentative="0">
      <w:start w:val="1"/>
      <w:numFmt w:val="decimal"/>
      <w:pStyle w:val="80"/>
      <w:suff w:val="nothing"/>
      <w:lvlText w:val="%1.%2.%3.%4.%5.%6　"/>
      <w:lvlJc w:val="left"/>
      <w:pPr>
        <w:ind w:left="0" w:firstLine="0"/>
      </w:pPr>
      <w:rPr>
        <w:rFonts w:hint="eastAsia" w:ascii="黑体" w:hAnsi="Times New Roman" w:eastAsia="黑体"/>
        <w:b w:val="0"/>
        <w:i w:val="0"/>
        <w:sz w:val="21"/>
      </w:rPr>
    </w:lvl>
    <w:lvl w:ilvl="6" w:tentative="0">
      <w:start w:val="1"/>
      <w:numFmt w:val="decimal"/>
      <w:pStyle w:val="8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7">
    <w:nsid w:val="663D6DB0"/>
    <w:multiLevelType w:val="multilevel"/>
    <w:tmpl w:val="663D6DB0"/>
    <w:lvl w:ilvl="0" w:tentative="0">
      <w:start w:val="1"/>
      <w:numFmt w:val="bullet"/>
      <w:pStyle w:val="55"/>
      <w:lvlText w:val="•"/>
      <w:lvlJc w:val="left"/>
      <w:pPr>
        <w:ind w:left="1554" w:hanging="420"/>
      </w:pPr>
      <w:rPr>
        <w:rFonts w:hint="default"/>
      </w:rPr>
    </w:lvl>
    <w:lvl w:ilvl="1" w:tentative="0">
      <w:start w:val="1"/>
      <w:numFmt w:val="bullet"/>
      <w:lvlText w:val=""/>
      <w:lvlJc w:val="left"/>
      <w:pPr>
        <w:ind w:left="1974" w:hanging="420"/>
      </w:pPr>
      <w:rPr>
        <w:rFonts w:hint="default" w:ascii="Wingdings" w:hAnsi="Wingdings"/>
      </w:rPr>
    </w:lvl>
    <w:lvl w:ilvl="2" w:tentative="0">
      <w:start w:val="1"/>
      <w:numFmt w:val="bullet"/>
      <w:lvlText w:val=""/>
      <w:lvlJc w:val="left"/>
      <w:pPr>
        <w:ind w:left="2394" w:hanging="420"/>
      </w:pPr>
      <w:rPr>
        <w:rFonts w:hint="default" w:ascii="Wingdings" w:hAnsi="Wingdings"/>
      </w:rPr>
    </w:lvl>
    <w:lvl w:ilvl="3" w:tentative="0">
      <w:start w:val="1"/>
      <w:numFmt w:val="bullet"/>
      <w:lvlText w:val=""/>
      <w:lvlJc w:val="left"/>
      <w:pPr>
        <w:ind w:left="2814" w:hanging="420"/>
      </w:pPr>
      <w:rPr>
        <w:rFonts w:hint="default" w:ascii="Wingdings" w:hAnsi="Wingdings"/>
      </w:rPr>
    </w:lvl>
    <w:lvl w:ilvl="4" w:tentative="0">
      <w:start w:val="1"/>
      <w:numFmt w:val="bullet"/>
      <w:lvlText w:val=""/>
      <w:lvlJc w:val="left"/>
      <w:pPr>
        <w:ind w:left="3234" w:hanging="420"/>
      </w:pPr>
      <w:rPr>
        <w:rFonts w:hint="default" w:ascii="Wingdings" w:hAnsi="Wingdings"/>
      </w:rPr>
    </w:lvl>
    <w:lvl w:ilvl="5" w:tentative="0">
      <w:start w:val="1"/>
      <w:numFmt w:val="bullet"/>
      <w:lvlText w:val=""/>
      <w:lvlJc w:val="left"/>
      <w:pPr>
        <w:ind w:left="3654" w:hanging="420"/>
      </w:pPr>
      <w:rPr>
        <w:rFonts w:hint="default" w:ascii="Wingdings" w:hAnsi="Wingdings"/>
      </w:rPr>
    </w:lvl>
    <w:lvl w:ilvl="6" w:tentative="0">
      <w:start w:val="1"/>
      <w:numFmt w:val="bullet"/>
      <w:lvlText w:val=""/>
      <w:lvlJc w:val="left"/>
      <w:pPr>
        <w:ind w:left="4074" w:hanging="420"/>
      </w:pPr>
      <w:rPr>
        <w:rFonts w:hint="default" w:ascii="Wingdings" w:hAnsi="Wingdings"/>
      </w:rPr>
    </w:lvl>
    <w:lvl w:ilvl="7" w:tentative="0">
      <w:start w:val="1"/>
      <w:numFmt w:val="bullet"/>
      <w:lvlText w:val=""/>
      <w:lvlJc w:val="left"/>
      <w:pPr>
        <w:ind w:left="4494" w:hanging="420"/>
      </w:pPr>
      <w:rPr>
        <w:rFonts w:hint="default" w:ascii="Wingdings" w:hAnsi="Wingdings"/>
      </w:rPr>
    </w:lvl>
    <w:lvl w:ilvl="8" w:tentative="0">
      <w:start w:val="1"/>
      <w:numFmt w:val="bullet"/>
      <w:lvlText w:val=""/>
      <w:lvlJc w:val="left"/>
      <w:pPr>
        <w:ind w:left="4914" w:hanging="420"/>
      </w:pPr>
      <w:rPr>
        <w:rFonts w:hint="default" w:ascii="Wingdings" w:hAnsi="Wingdings"/>
      </w:rPr>
    </w:lvl>
  </w:abstractNum>
  <w:abstractNum w:abstractNumId="18">
    <w:nsid w:val="6A5D39AB"/>
    <w:multiLevelType w:val="singleLevel"/>
    <w:tmpl w:val="6A5D39AB"/>
    <w:lvl w:ilvl="0" w:tentative="0">
      <w:start w:val="1"/>
      <w:numFmt w:val="lowerLetter"/>
      <w:suff w:val="space"/>
      <w:lvlText w:val="%1)"/>
      <w:lvlJc w:val="left"/>
    </w:lvl>
  </w:abstractNum>
  <w:abstractNum w:abstractNumId="19">
    <w:nsid w:val="6D6C07CD"/>
    <w:multiLevelType w:val="multilevel"/>
    <w:tmpl w:val="6D6C07CD"/>
    <w:lvl w:ilvl="0" w:tentative="0">
      <w:start w:val="1"/>
      <w:numFmt w:val="lowerLetter"/>
      <w:pStyle w:val="83"/>
      <w:lvlText w:val="%1)"/>
      <w:lvlJc w:val="left"/>
      <w:pPr>
        <w:tabs>
          <w:tab w:val="left" w:pos="839"/>
        </w:tabs>
        <w:ind w:left="839" w:hanging="419"/>
      </w:pPr>
      <w:rPr>
        <w:rFonts w:hint="eastAsia" w:ascii="宋体" w:eastAsia="宋体"/>
        <w:b w:val="0"/>
        <w:i w:val="0"/>
        <w:sz w:val="21"/>
      </w:rPr>
    </w:lvl>
    <w:lvl w:ilvl="1" w:tentative="0">
      <w:start w:val="1"/>
      <w:numFmt w:val="decimal"/>
      <w:pStyle w:val="79"/>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20">
    <w:nsid w:val="7FDCC973"/>
    <w:multiLevelType w:val="singleLevel"/>
    <w:tmpl w:val="7FDCC973"/>
    <w:lvl w:ilvl="0" w:tentative="0">
      <w:start w:val="1"/>
      <w:numFmt w:val="lowerLetter"/>
      <w:suff w:val="space"/>
      <w:lvlText w:val="%1)"/>
      <w:lvlJc w:val="left"/>
    </w:lvl>
  </w:abstractNum>
  <w:num w:numId="1">
    <w:abstractNumId w:val="12"/>
  </w:num>
  <w:num w:numId="2">
    <w:abstractNumId w:val="13"/>
  </w:num>
  <w:num w:numId="3">
    <w:abstractNumId w:val="8"/>
  </w:num>
  <w:num w:numId="4">
    <w:abstractNumId w:val="11"/>
  </w:num>
  <w:num w:numId="5">
    <w:abstractNumId w:val="2"/>
  </w:num>
  <w:num w:numId="6">
    <w:abstractNumId w:val="15"/>
  </w:num>
  <w:num w:numId="7">
    <w:abstractNumId w:val="17"/>
  </w:num>
  <w:num w:numId="8">
    <w:abstractNumId w:val="16"/>
  </w:num>
  <w:num w:numId="9">
    <w:abstractNumId w:val="5"/>
  </w:num>
  <w:num w:numId="10">
    <w:abstractNumId w:val="19"/>
  </w:num>
  <w:num w:numId="11">
    <w:abstractNumId w:val="10"/>
  </w:num>
  <w:num w:numId="12">
    <w:abstractNumId w:val="3"/>
  </w:num>
  <w:num w:numId="13">
    <w:abstractNumId w:val="14"/>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4"/>
  </w:num>
  <w:num w:numId="18">
    <w:abstractNumId w:val="0"/>
  </w:num>
  <w:num w:numId="19">
    <w:abstractNumId w:val="9"/>
  </w:num>
  <w:num w:numId="20">
    <w:abstractNumId w:val="20"/>
  </w:num>
  <w:num w:numId="21">
    <w:abstractNumId w:val="18"/>
  </w:num>
  <w:num w:numId="22">
    <w:abstractNumId w:val="7"/>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hideSpellingErrors/>
  <w:hideGrammaticalErrors/>
  <w:documentProtection w:enforcement="0"/>
  <w:defaultTabStop w:val="11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iMTMwYjExNjViNjM1YzQ5ZGQ4NTg1Y2E2YTMxZWUifQ=="/>
  </w:docVars>
  <w:rsids>
    <w:rsidRoot w:val="00787852"/>
    <w:rsid w:val="00003634"/>
    <w:rsid w:val="00005CCB"/>
    <w:rsid w:val="000116C1"/>
    <w:rsid w:val="00013409"/>
    <w:rsid w:val="00013891"/>
    <w:rsid w:val="00013C0A"/>
    <w:rsid w:val="0001462B"/>
    <w:rsid w:val="000150DB"/>
    <w:rsid w:val="0001519C"/>
    <w:rsid w:val="000261F1"/>
    <w:rsid w:val="00026268"/>
    <w:rsid w:val="00026417"/>
    <w:rsid w:val="00027357"/>
    <w:rsid w:val="000277D6"/>
    <w:rsid w:val="00030379"/>
    <w:rsid w:val="0003107B"/>
    <w:rsid w:val="00031130"/>
    <w:rsid w:val="00032277"/>
    <w:rsid w:val="000333A4"/>
    <w:rsid w:val="00033661"/>
    <w:rsid w:val="000336E5"/>
    <w:rsid w:val="00033995"/>
    <w:rsid w:val="00035991"/>
    <w:rsid w:val="000379B5"/>
    <w:rsid w:val="00037D6F"/>
    <w:rsid w:val="000422A5"/>
    <w:rsid w:val="00042F50"/>
    <w:rsid w:val="00043A17"/>
    <w:rsid w:val="00046320"/>
    <w:rsid w:val="00047A84"/>
    <w:rsid w:val="0005191B"/>
    <w:rsid w:val="000531D5"/>
    <w:rsid w:val="00053C71"/>
    <w:rsid w:val="00053EE5"/>
    <w:rsid w:val="0005455B"/>
    <w:rsid w:val="000553A2"/>
    <w:rsid w:val="00060249"/>
    <w:rsid w:val="00062183"/>
    <w:rsid w:val="000625AF"/>
    <w:rsid w:val="0006339A"/>
    <w:rsid w:val="000643A8"/>
    <w:rsid w:val="0006653B"/>
    <w:rsid w:val="00070E83"/>
    <w:rsid w:val="00071070"/>
    <w:rsid w:val="00071509"/>
    <w:rsid w:val="000724C4"/>
    <w:rsid w:val="0007278B"/>
    <w:rsid w:val="00076422"/>
    <w:rsid w:val="00082A28"/>
    <w:rsid w:val="00086951"/>
    <w:rsid w:val="000874E9"/>
    <w:rsid w:val="00090F69"/>
    <w:rsid w:val="00091579"/>
    <w:rsid w:val="00093393"/>
    <w:rsid w:val="00094353"/>
    <w:rsid w:val="00095955"/>
    <w:rsid w:val="00096490"/>
    <w:rsid w:val="000A00E5"/>
    <w:rsid w:val="000A0214"/>
    <w:rsid w:val="000A1648"/>
    <w:rsid w:val="000A323F"/>
    <w:rsid w:val="000A3E00"/>
    <w:rsid w:val="000A419A"/>
    <w:rsid w:val="000A4361"/>
    <w:rsid w:val="000A68D1"/>
    <w:rsid w:val="000B0718"/>
    <w:rsid w:val="000B2908"/>
    <w:rsid w:val="000B2A72"/>
    <w:rsid w:val="000B66E4"/>
    <w:rsid w:val="000C21DD"/>
    <w:rsid w:val="000C6DDE"/>
    <w:rsid w:val="000C7B8B"/>
    <w:rsid w:val="000D037B"/>
    <w:rsid w:val="000D3138"/>
    <w:rsid w:val="000D319A"/>
    <w:rsid w:val="000D3D83"/>
    <w:rsid w:val="000D3E1D"/>
    <w:rsid w:val="000D6307"/>
    <w:rsid w:val="000D7617"/>
    <w:rsid w:val="000E003B"/>
    <w:rsid w:val="000E41F9"/>
    <w:rsid w:val="000E4C1A"/>
    <w:rsid w:val="000F02DE"/>
    <w:rsid w:val="000F17F8"/>
    <w:rsid w:val="000F1BE4"/>
    <w:rsid w:val="000F20CA"/>
    <w:rsid w:val="000F41F4"/>
    <w:rsid w:val="000F425C"/>
    <w:rsid w:val="000F6F41"/>
    <w:rsid w:val="000F6F91"/>
    <w:rsid w:val="001007EE"/>
    <w:rsid w:val="0011063D"/>
    <w:rsid w:val="00110F00"/>
    <w:rsid w:val="00112813"/>
    <w:rsid w:val="00113511"/>
    <w:rsid w:val="001213D4"/>
    <w:rsid w:val="00121BB7"/>
    <w:rsid w:val="001228D7"/>
    <w:rsid w:val="00123CEE"/>
    <w:rsid w:val="0012642A"/>
    <w:rsid w:val="00132B9F"/>
    <w:rsid w:val="0013396E"/>
    <w:rsid w:val="00134F57"/>
    <w:rsid w:val="00135204"/>
    <w:rsid w:val="00140499"/>
    <w:rsid w:val="00140FF4"/>
    <w:rsid w:val="0014210E"/>
    <w:rsid w:val="00142BB2"/>
    <w:rsid w:val="00143718"/>
    <w:rsid w:val="00144588"/>
    <w:rsid w:val="00144C61"/>
    <w:rsid w:val="00146E2D"/>
    <w:rsid w:val="001472D6"/>
    <w:rsid w:val="00153BC4"/>
    <w:rsid w:val="00155915"/>
    <w:rsid w:val="00156BA4"/>
    <w:rsid w:val="00157D5F"/>
    <w:rsid w:val="0016101E"/>
    <w:rsid w:val="00166775"/>
    <w:rsid w:val="00167109"/>
    <w:rsid w:val="00172AEC"/>
    <w:rsid w:val="00174B55"/>
    <w:rsid w:val="0017617C"/>
    <w:rsid w:val="00177AC6"/>
    <w:rsid w:val="00180479"/>
    <w:rsid w:val="00181D68"/>
    <w:rsid w:val="00183951"/>
    <w:rsid w:val="00184033"/>
    <w:rsid w:val="001845FE"/>
    <w:rsid w:val="00186DEB"/>
    <w:rsid w:val="00187941"/>
    <w:rsid w:val="00187CBF"/>
    <w:rsid w:val="00187F18"/>
    <w:rsid w:val="001921B6"/>
    <w:rsid w:val="00192D90"/>
    <w:rsid w:val="001A4DB3"/>
    <w:rsid w:val="001A5672"/>
    <w:rsid w:val="001A571B"/>
    <w:rsid w:val="001A5887"/>
    <w:rsid w:val="001B0F2D"/>
    <w:rsid w:val="001B2716"/>
    <w:rsid w:val="001B5B40"/>
    <w:rsid w:val="001B6C12"/>
    <w:rsid w:val="001B710A"/>
    <w:rsid w:val="001B739C"/>
    <w:rsid w:val="001B7689"/>
    <w:rsid w:val="001B7893"/>
    <w:rsid w:val="001C079C"/>
    <w:rsid w:val="001C0BE5"/>
    <w:rsid w:val="001C1E1E"/>
    <w:rsid w:val="001C20D7"/>
    <w:rsid w:val="001C2AC3"/>
    <w:rsid w:val="001C3B3E"/>
    <w:rsid w:val="001C4AEC"/>
    <w:rsid w:val="001C5F27"/>
    <w:rsid w:val="001C691C"/>
    <w:rsid w:val="001D273D"/>
    <w:rsid w:val="001D4B1D"/>
    <w:rsid w:val="001D4F9F"/>
    <w:rsid w:val="001D54F9"/>
    <w:rsid w:val="001D6FCA"/>
    <w:rsid w:val="001D704D"/>
    <w:rsid w:val="001E0097"/>
    <w:rsid w:val="001E03AE"/>
    <w:rsid w:val="001E37F1"/>
    <w:rsid w:val="001E4F5B"/>
    <w:rsid w:val="001E58F2"/>
    <w:rsid w:val="001E67B3"/>
    <w:rsid w:val="001E75A5"/>
    <w:rsid w:val="001E76BE"/>
    <w:rsid w:val="001F0CC8"/>
    <w:rsid w:val="001F3337"/>
    <w:rsid w:val="001F3BC8"/>
    <w:rsid w:val="001F48A1"/>
    <w:rsid w:val="001F4AD5"/>
    <w:rsid w:val="001F4CC2"/>
    <w:rsid w:val="001F4CCE"/>
    <w:rsid w:val="001F5380"/>
    <w:rsid w:val="001F5874"/>
    <w:rsid w:val="001F6795"/>
    <w:rsid w:val="002001B3"/>
    <w:rsid w:val="00200808"/>
    <w:rsid w:val="002008B7"/>
    <w:rsid w:val="002018C8"/>
    <w:rsid w:val="00205402"/>
    <w:rsid w:val="00206346"/>
    <w:rsid w:val="002063CE"/>
    <w:rsid w:val="00210576"/>
    <w:rsid w:val="00211416"/>
    <w:rsid w:val="00211B1C"/>
    <w:rsid w:val="002135F8"/>
    <w:rsid w:val="00215FD7"/>
    <w:rsid w:val="00217734"/>
    <w:rsid w:val="002202A7"/>
    <w:rsid w:val="00221E0B"/>
    <w:rsid w:val="00222C43"/>
    <w:rsid w:val="00222C48"/>
    <w:rsid w:val="00225451"/>
    <w:rsid w:val="00226108"/>
    <w:rsid w:val="002267DB"/>
    <w:rsid w:val="002278D0"/>
    <w:rsid w:val="00233B7B"/>
    <w:rsid w:val="00233D8A"/>
    <w:rsid w:val="00235209"/>
    <w:rsid w:val="00236AD0"/>
    <w:rsid w:val="00240358"/>
    <w:rsid w:val="0024101F"/>
    <w:rsid w:val="002413B4"/>
    <w:rsid w:val="00243276"/>
    <w:rsid w:val="00244D94"/>
    <w:rsid w:val="00244DB4"/>
    <w:rsid w:val="002450E5"/>
    <w:rsid w:val="0024761A"/>
    <w:rsid w:val="00247982"/>
    <w:rsid w:val="002517D6"/>
    <w:rsid w:val="00252413"/>
    <w:rsid w:val="002542C7"/>
    <w:rsid w:val="00255713"/>
    <w:rsid w:val="00256204"/>
    <w:rsid w:val="00256E07"/>
    <w:rsid w:val="00262BF3"/>
    <w:rsid w:val="00262F5D"/>
    <w:rsid w:val="00263404"/>
    <w:rsid w:val="00263C29"/>
    <w:rsid w:val="00266025"/>
    <w:rsid w:val="00272F89"/>
    <w:rsid w:val="00274C5D"/>
    <w:rsid w:val="002757CF"/>
    <w:rsid w:val="002775E7"/>
    <w:rsid w:val="002815B2"/>
    <w:rsid w:val="00282EC4"/>
    <w:rsid w:val="00283112"/>
    <w:rsid w:val="00283971"/>
    <w:rsid w:val="0028503F"/>
    <w:rsid w:val="00287A4C"/>
    <w:rsid w:val="00287AFA"/>
    <w:rsid w:val="00287C53"/>
    <w:rsid w:val="0029110C"/>
    <w:rsid w:val="0029519F"/>
    <w:rsid w:val="00296FAF"/>
    <w:rsid w:val="0029702C"/>
    <w:rsid w:val="002A289B"/>
    <w:rsid w:val="002A376E"/>
    <w:rsid w:val="002A4361"/>
    <w:rsid w:val="002A46F2"/>
    <w:rsid w:val="002A4C7A"/>
    <w:rsid w:val="002A4F5A"/>
    <w:rsid w:val="002A52A0"/>
    <w:rsid w:val="002A567F"/>
    <w:rsid w:val="002B1DCD"/>
    <w:rsid w:val="002B2473"/>
    <w:rsid w:val="002B5DB3"/>
    <w:rsid w:val="002C7C3F"/>
    <w:rsid w:val="002D07B0"/>
    <w:rsid w:val="002D0985"/>
    <w:rsid w:val="002D3BD7"/>
    <w:rsid w:val="002D6A40"/>
    <w:rsid w:val="002D7417"/>
    <w:rsid w:val="002D7813"/>
    <w:rsid w:val="002E01BF"/>
    <w:rsid w:val="002E1A6F"/>
    <w:rsid w:val="002E20E2"/>
    <w:rsid w:val="002E34C7"/>
    <w:rsid w:val="002E427B"/>
    <w:rsid w:val="002E5E97"/>
    <w:rsid w:val="002E626C"/>
    <w:rsid w:val="002E627F"/>
    <w:rsid w:val="002F0120"/>
    <w:rsid w:val="002F0780"/>
    <w:rsid w:val="002F086B"/>
    <w:rsid w:val="002F086C"/>
    <w:rsid w:val="002F1FA9"/>
    <w:rsid w:val="002F2084"/>
    <w:rsid w:val="0030238A"/>
    <w:rsid w:val="00303C04"/>
    <w:rsid w:val="00305883"/>
    <w:rsid w:val="0030685C"/>
    <w:rsid w:val="00307004"/>
    <w:rsid w:val="00307D20"/>
    <w:rsid w:val="00311167"/>
    <w:rsid w:val="00311C90"/>
    <w:rsid w:val="0031215F"/>
    <w:rsid w:val="00312360"/>
    <w:rsid w:val="003131C5"/>
    <w:rsid w:val="00314757"/>
    <w:rsid w:val="00316BF1"/>
    <w:rsid w:val="00320653"/>
    <w:rsid w:val="00320BF8"/>
    <w:rsid w:val="00321CC3"/>
    <w:rsid w:val="0032482B"/>
    <w:rsid w:val="00325D9C"/>
    <w:rsid w:val="00326B78"/>
    <w:rsid w:val="00331E88"/>
    <w:rsid w:val="00332BE4"/>
    <w:rsid w:val="00332D9B"/>
    <w:rsid w:val="00341148"/>
    <w:rsid w:val="00343BA6"/>
    <w:rsid w:val="00347E15"/>
    <w:rsid w:val="0035140D"/>
    <w:rsid w:val="00351E64"/>
    <w:rsid w:val="003540EC"/>
    <w:rsid w:val="003557F6"/>
    <w:rsid w:val="00356102"/>
    <w:rsid w:val="003573AD"/>
    <w:rsid w:val="0036096E"/>
    <w:rsid w:val="0036370E"/>
    <w:rsid w:val="00365E2F"/>
    <w:rsid w:val="00370043"/>
    <w:rsid w:val="00370692"/>
    <w:rsid w:val="00383729"/>
    <w:rsid w:val="00385DB5"/>
    <w:rsid w:val="0039368D"/>
    <w:rsid w:val="003954EC"/>
    <w:rsid w:val="0039562B"/>
    <w:rsid w:val="00395954"/>
    <w:rsid w:val="00395F50"/>
    <w:rsid w:val="00396F24"/>
    <w:rsid w:val="003A0081"/>
    <w:rsid w:val="003A09E3"/>
    <w:rsid w:val="003A14CC"/>
    <w:rsid w:val="003A6676"/>
    <w:rsid w:val="003A68EF"/>
    <w:rsid w:val="003A790C"/>
    <w:rsid w:val="003B08FA"/>
    <w:rsid w:val="003B2ED0"/>
    <w:rsid w:val="003B4DE3"/>
    <w:rsid w:val="003B5291"/>
    <w:rsid w:val="003B581C"/>
    <w:rsid w:val="003B68AB"/>
    <w:rsid w:val="003B6AD1"/>
    <w:rsid w:val="003B7227"/>
    <w:rsid w:val="003C0FD7"/>
    <w:rsid w:val="003C1044"/>
    <w:rsid w:val="003C1B27"/>
    <w:rsid w:val="003C2BDC"/>
    <w:rsid w:val="003C37AE"/>
    <w:rsid w:val="003C4D34"/>
    <w:rsid w:val="003C504C"/>
    <w:rsid w:val="003C62DD"/>
    <w:rsid w:val="003C6485"/>
    <w:rsid w:val="003C6D97"/>
    <w:rsid w:val="003C7775"/>
    <w:rsid w:val="003D1B9B"/>
    <w:rsid w:val="003D546E"/>
    <w:rsid w:val="003D798E"/>
    <w:rsid w:val="003D7B43"/>
    <w:rsid w:val="003E0442"/>
    <w:rsid w:val="003E2AC6"/>
    <w:rsid w:val="003E37F9"/>
    <w:rsid w:val="003E58D0"/>
    <w:rsid w:val="003E7B15"/>
    <w:rsid w:val="003F0DC6"/>
    <w:rsid w:val="003F2B5F"/>
    <w:rsid w:val="003F43B6"/>
    <w:rsid w:val="003F61B6"/>
    <w:rsid w:val="004008F2"/>
    <w:rsid w:val="00401BAA"/>
    <w:rsid w:val="00401DF1"/>
    <w:rsid w:val="00403BF7"/>
    <w:rsid w:val="004067B7"/>
    <w:rsid w:val="00406AAD"/>
    <w:rsid w:val="00406C9A"/>
    <w:rsid w:val="00406F30"/>
    <w:rsid w:val="00412179"/>
    <w:rsid w:val="00413446"/>
    <w:rsid w:val="004140E4"/>
    <w:rsid w:val="00414435"/>
    <w:rsid w:val="0042043C"/>
    <w:rsid w:val="004249F3"/>
    <w:rsid w:val="00424B09"/>
    <w:rsid w:val="004263A8"/>
    <w:rsid w:val="004268E0"/>
    <w:rsid w:val="004343B9"/>
    <w:rsid w:val="0043498C"/>
    <w:rsid w:val="004359FC"/>
    <w:rsid w:val="00436D60"/>
    <w:rsid w:val="0044094B"/>
    <w:rsid w:val="004430FF"/>
    <w:rsid w:val="00443CFB"/>
    <w:rsid w:val="00446C4B"/>
    <w:rsid w:val="00446C79"/>
    <w:rsid w:val="00450278"/>
    <w:rsid w:val="00450878"/>
    <w:rsid w:val="004509F3"/>
    <w:rsid w:val="00451EBD"/>
    <w:rsid w:val="0045227E"/>
    <w:rsid w:val="00452AF5"/>
    <w:rsid w:val="00454023"/>
    <w:rsid w:val="004548C8"/>
    <w:rsid w:val="00461414"/>
    <w:rsid w:val="00461482"/>
    <w:rsid w:val="00463F2E"/>
    <w:rsid w:val="00465310"/>
    <w:rsid w:val="00465589"/>
    <w:rsid w:val="00472680"/>
    <w:rsid w:val="0047341E"/>
    <w:rsid w:val="00474477"/>
    <w:rsid w:val="00476E0A"/>
    <w:rsid w:val="0048079D"/>
    <w:rsid w:val="00480AF4"/>
    <w:rsid w:val="00480F87"/>
    <w:rsid w:val="00490C37"/>
    <w:rsid w:val="004921FD"/>
    <w:rsid w:val="004960B1"/>
    <w:rsid w:val="004963FE"/>
    <w:rsid w:val="00497093"/>
    <w:rsid w:val="00497BBC"/>
    <w:rsid w:val="004A07FB"/>
    <w:rsid w:val="004A0DB9"/>
    <w:rsid w:val="004A0E2C"/>
    <w:rsid w:val="004A2110"/>
    <w:rsid w:val="004A37D4"/>
    <w:rsid w:val="004B2039"/>
    <w:rsid w:val="004B442B"/>
    <w:rsid w:val="004B5C54"/>
    <w:rsid w:val="004B63A8"/>
    <w:rsid w:val="004B6663"/>
    <w:rsid w:val="004C1822"/>
    <w:rsid w:val="004C188A"/>
    <w:rsid w:val="004C24B5"/>
    <w:rsid w:val="004C2540"/>
    <w:rsid w:val="004C4300"/>
    <w:rsid w:val="004C4310"/>
    <w:rsid w:val="004C5609"/>
    <w:rsid w:val="004C5C59"/>
    <w:rsid w:val="004C7204"/>
    <w:rsid w:val="004D0B4F"/>
    <w:rsid w:val="004D1507"/>
    <w:rsid w:val="004D2229"/>
    <w:rsid w:val="004D2406"/>
    <w:rsid w:val="004D38CC"/>
    <w:rsid w:val="004E05DF"/>
    <w:rsid w:val="004E0766"/>
    <w:rsid w:val="004E4219"/>
    <w:rsid w:val="004E47C6"/>
    <w:rsid w:val="004E4CFC"/>
    <w:rsid w:val="004E66CA"/>
    <w:rsid w:val="004E7194"/>
    <w:rsid w:val="004F1207"/>
    <w:rsid w:val="004F1653"/>
    <w:rsid w:val="004F2C50"/>
    <w:rsid w:val="004F306E"/>
    <w:rsid w:val="004F372C"/>
    <w:rsid w:val="004F45F6"/>
    <w:rsid w:val="004F4B8A"/>
    <w:rsid w:val="004F5FC3"/>
    <w:rsid w:val="005008FE"/>
    <w:rsid w:val="005012A3"/>
    <w:rsid w:val="0050222D"/>
    <w:rsid w:val="00503C5A"/>
    <w:rsid w:val="00503EF8"/>
    <w:rsid w:val="00505EEC"/>
    <w:rsid w:val="00511370"/>
    <w:rsid w:val="0051199D"/>
    <w:rsid w:val="00512601"/>
    <w:rsid w:val="00513080"/>
    <w:rsid w:val="00514602"/>
    <w:rsid w:val="00515E74"/>
    <w:rsid w:val="0052096D"/>
    <w:rsid w:val="00520CAA"/>
    <w:rsid w:val="00520DA5"/>
    <w:rsid w:val="00521312"/>
    <w:rsid w:val="00521EAD"/>
    <w:rsid w:val="00522749"/>
    <w:rsid w:val="00526113"/>
    <w:rsid w:val="00526A9D"/>
    <w:rsid w:val="005304D0"/>
    <w:rsid w:val="00534968"/>
    <w:rsid w:val="005355D9"/>
    <w:rsid w:val="005400F1"/>
    <w:rsid w:val="00544DE6"/>
    <w:rsid w:val="00544E77"/>
    <w:rsid w:val="0054535B"/>
    <w:rsid w:val="0054639B"/>
    <w:rsid w:val="00551869"/>
    <w:rsid w:val="00552F33"/>
    <w:rsid w:val="0055538E"/>
    <w:rsid w:val="00555895"/>
    <w:rsid w:val="00555E5B"/>
    <w:rsid w:val="005569AA"/>
    <w:rsid w:val="00562C12"/>
    <w:rsid w:val="005639EE"/>
    <w:rsid w:val="00563ABC"/>
    <w:rsid w:val="00567BB9"/>
    <w:rsid w:val="0057238F"/>
    <w:rsid w:val="005735CD"/>
    <w:rsid w:val="00575BCD"/>
    <w:rsid w:val="00580A96"/>
    <w:rsid w:val="005820F0"/>
    <w:rsid w:val="00582303"/>
    <w:rsid w:val="00582377"/>
    <w:rsid w:val="00584D67"/>
    <w:rsid w:val="00585666"/>
    <w:rsid w:val="00585F18"/>
    <w:rsid w:val="00587E72"/>
    <w:rsid w:val="005902D1"/>
    <w:rsid w:val="00590977"/>
    <w:rsid w:val="0059189F"/>
    <w:rsid w:val="005921AE"/>
    <w:rsid w:val="0059620F"/>
    <w:rsid w:val="00596223"/>
    <w:rsid w:val="00597024"/>
    <w:rsid w:val="005975A9"/>
    <w:rsid w:val="005A07D4"/>
    <w:rsid w:val="005A3DF4"/>
    <w:rsid w:val="005A4E51"/>
    <w:rsid w:val="005A6B9E"/>
    <w:rsid w:val="005A732D"/>
    <w:rsid w:val="005B1BC9"/>
    <w:rsid w:val="005B4840"/>
    <w:rsid w:val="005B4D0C"/>
    <w:rsid w:val="005B63BD"/>
    <w:rsid w:val="005B693C"/>
    <w:rsid w:val="005C3CBC"/>
    <w:rsid w:val="005C41A1"/>
    <w:rsid w:val="005C5134"/>
    <w:rsid w:val="005C520C"/>
    <w:rsid w:val="005D26A5"/>
    <w:rsid w:val="005D37A2"/>
    <w:rsid w:val="005D4D9D"/>
    <w:rsid w:val="005D562C"/>
    <w:rsid w:val="005D6190"/>
    <w:rsid w:val="005D6AE7"/>
    <w:rsid w:val="005D71C7"/>
    <w:rsid w:val="005D778A"/>
    <w:rsid w:val="005E122A"/>
    <w:rsid w:val="005E133D"/>
    <w:rsid w:val="005E2C15"/>
    <w:rsid w:val="005E34F1"/>
    <w:rsid w:val="005E3CCA"/>
    <w:rsid w:val="005E4977"/>
    <w:rsid w:val="005E7597"/>
    <w:rsid w:val="005F03CC"/>
    <w:rsid w:val="005F0D0B"/>
    <w:rsid w:val="005F3DB7"/>
    <w:rsid w:val="005F48ED"/>
    <w:rsid w:val="005F5253"/>
    <w:rsid w:val="005F6FBA"/>
    <w:rsid w:val="005F7957"/>
    <w:rsid w:val="00600A16"/>
    <w:rsid w:val="006013C2"/>
    <w:rsid w:val="006036D1"/>
    <w:rsid w:val="00603A75"/>
    <w:rsid w:val="006066C6"/>
    <w:rsid w:val="00606EAC"/>
    <w:rsid w:val="00607EA4"/>
    <w:rsid w:val="00610F66"/>
    <w:rsid w:val="006178D2"/>
    <w:rsid w:val="0062567A"/>
    <w:rsid w:val="00632776"/>
    <w:rsid w:val="00634F0D"/>
    <w:rsid w:val="0063551C"/>
    <w:rsid w:val="0063774E"/>
    <w:rsid w:val="0064068F"/>
    <w:rsid w:val="00640EBC"/>
    <w:rsid w:val="006418FA"/>
    <w:rsid w:val="00642B07"/>
    <w:rsid w:val="00642F7B"/>
    <w:rsid w:val="0064331E"/>
    <w:rsid w:val="006434A0"/>
    <w:rsid w:val="0064597D"/>
    <w:rsid w:val="00645ED1"/>
    <w:rsid w:val="00646923"/>
    <w:rsid w:val="00650C9E"/>
    <w:rsid w:val="0065491D"/>
    <w:rsid w:val="006552C2"/>
    <w:rsid w:val="00656ECB"/>
    <w:rsid w:val="006574ED"/>
    <w:rsid w:val="006575E0"/>
    <w:rsid w:val="006607F5"/>
    <w:rsid w:val="006638B9"/>
    <w:rsid w:val="006656D4"/>
    <w:rsid w:val="006671D3"/>
    <w:rsid w:val="00670FB6"/>
    <w:rsid w:val="00672924"/>
    <w:rsid w:val="00674A40"/>
    <w:rsid w:val="0067701F"/>
    <w:rsid w:val="0068133B"/>
    <w:rsid w:val="006827C4"/>
    <w:rsid w:val="00682ED7"/>
    <w:rsid w:val="006833B3"/>
    <w:rsid w:val="00685294"/>
    <w:rsid w:val="006873BC"/>
    <w:rsid w:val="00690E62"/>
    <w:rsid w:val="00691055"/>
    <w:rsid w:val="0069181E"/>
    <w:rsid w:val="006942A2"/>
    <w:rsid w:val="006959E7"/>
    <w:rsid w:val="00696945"/>
    <w:rsid w:val="00696F56"/>
    <w:rsid w:val="00697563"/>
    <w:rsid w:val="006A1084"/>
    <w:rsid w:val="006A4280"/>
    <w:rsid w:val="006A4C4A"/>
    <w:rsid w:val="006B1EDB"/>
    <w:rsid w:val="006B245F"/>
    <w:rsid w:val="006B3E9F"/>
    <w:rsid w:val="006B4E97"/>
    <w:rsid w:val="006B4E9A"/>
    <w:rsid w:val="006B77AE"/>
    <w:rsid w:val="006C0BA0"/>
    <w:rsid w:val="006C12DB"/>
    <w:rsid w:val="006C1996"/>
    <w:rsid w:val="006C5005"/>
    <w:rsid w:val="006D0069"/>
    <w:rsid w:val="006D02A0"/>
    <w:rsid w:val="006D3C41"/>
    <w:rsid w:val="006D415E"/>
    <w:rsid w:val="006D4228"/>
    <w:rsid w:val="006E07D0"/>
    <w:rsid w:val="006E58B9"/>
    <w:rsid w:val="006E6B7E"/>
    <w:rsid w:val="006E739A"/>
    <w:rsid w:val="006F092B"/>
    <w:rsid w:val="006F1E32"/>
    <w:rsid w:val="006F2F8B"/>
    <w:rsid w:val="006F497D"/>
    <w:rsid w:val="007021B7"/>
    <w:rsid w:val="00702D0A"/>
    <w:rsid w:val="0070555F"/>
    <w:rsid w:val="00711964"/>
    <w:rsid w:val="007132DA"/>
    <w:rsid w:val="00714DA8"/>
    <w:rsid w:val="00715A00"/>
    <w:rsid w:val="00716229"/>
    <w:rsid w:val="007169B7"/>
    <w:rsid w:val="00717A61"/>
    <w:rsid w:val="007238C4"/>
    <w:rsid w:val="00723CFE"/>
    <w:rsid w:val="00726770"/>
    <w:rsid w:val="00727705"/>
    <w:rsid w:val="007325CF"/>
    <w:rsid w:val="00735076"/>
    <w:rsid w:val="007372F0"/>
    <w:rsid w:val="0074006F"/>
    <w:rsid w:val="00743FE3"/>
    <w:rsid w:val="00747796"/>
    <w:rsid w:val="00750CB7"/>
    <w:rsid w:val="00753CF1"/>
    <w:rsid w:val="00754EBD"/>
    <w:rsid w:val="00755EE6"/>
    <w:rsid w:val="00756EF1"/>
    <w:rsid w:val="00757D88"/>
    <w:rsid w:val="00762C76"/>
    <w:rsid w:val="007650D0"/>
    <w:rsid w:val="007676A5"/>
    <w:rsid w:val="00771F56"/>
    <w:rsid w:val="00772980"/>
    <w:rsid w:val="00777A2B"/>
    <w:rsid w:val="00782906"/>
    <w:rsid w:val="00782F94"/>
    <w:rsid w:val="00785252"/>
    <w:rsid w:val="00786065"/>
    <w:rsid w:val="0078617B"/>
    <w:rsid w:val="0078666D"/>
    <w:rsid w:val="00786970"/>
    <w:rsid w:val="00787852"/>
    <w:rsid w:val="00790D44"/>
    <w:rsid w:val="007913B2"/>
    <w:rsid w:val="00791596"/>
    <w:rsid w:val="00791BBE"/>
    <w:rsid w:val="00792F10"/>
    <w:rsid w:val="00793660"/>
    <w:rsid w:val="00793AF1"/>
    <w:rsid w:val="007A0A6D"/>
    <w:rsid w:val="007A1B86"/>
    <w:rsid w:val="007A1C40"/>
    <w:rsid w:val="007A4956"/>
    <w:rsid w:val="007A4D4C"/>
    <w:rsid w:val="007A4FC2"/>
    <w:rsid w:val="007A61D1"/>
    <w:rsid w:val="007A7D0B"/>
    <w:rsid w:val="007B051F"/>
    <w:rsid w:val="007B0A92"/>
    <w:rsid w:val="007B3379"/>
    <w:rsid w:val="007B33C8"/>
    <w:rsid w:val="007B44B3"/>
    <w:rsid w:val="007B5828"/>
    <w:rsid w:val="007B711A"/>
    <w:rsid w:val="007B744E"/>
    <w:rsid w:val="007C107C"/>
    <w:rsid w:val="007C1E35"/>
    <w:rsid w:val="007C4615"/>
    <w:rsid w:val="007C4979"/>
    <w:rsid w:val="007C773F"/>
    <w:rsid w:val="007D07BD"/>
    <w:rsid w:val="007D2254"/>
    <w:rsid w:val="007D3DB7"/>
    <w:rsid w:val="007D4EEC"/>
    <w:rsid w:val="007D549D"/>
    <w:rsid w:val="007E00A0"/>
    <w:rsid w:val="007E0919"/>
    <w:rsid w:val="007E09BB"/>
    <w:rsid w:val="007E1BC6"/>
    <w:rsid w:val="007E23DF"/>
    <w:rsid w:val="007E40DC"/>
    <w:rsid w:val="007E431C"/>
    <w:rsid w:val="007E5873"/>
    <w:rsid w:val="007E6277"/>
    <w:rsid w:val="007F07CC"/>
    <w:rsid w:val="007F0A12"/>
    <w:rsid w:val="007F1E13"/>
    <w:rsid w:val="007F2761"/>
    <w:rsid w:val="007F3685"/>
    <w:rsid w:val="007F3830"/>
    <w:rsid w:val="007F3F87"/>
    <w:rsid w:val="007F5047"/>
    <w:rsid w:val="007F56D2"/>
    <w:rsid w:val="007F5DB7"/>
    <w:rsid w:val="008002CD"/>
    <w:rsid w:val="00803944"/>
    <w:rsid w:val="00804E51"/>
    <w:rsid w:val="00806DF3"/>
    <w:rsid w:val="00807139"/>
    <w:rsid w:val="00811441"/>
    <w:rsid w:val="00811D57"/>
    <w:rsid w:val="00812131"/>
    <w:rsid w:val="00815537"/>
    <w:rsid w:val="008170F2"/>
    <w:rsid w:val="00823629"/>
    <w:rsid w:val="00823807"/>
    <w:rsid w:val="00823C63"/>
    <w:rsid w:val="00827681"/>
    <w:rsid w:val="00831D7D"/>
    <w:rsid w:val="00832380"/>
    <w:rsid w:val="00834BCF"/>
    <w:rsid w:val="008373E3"/>
    <w:rsid w:val="00840FEB"/>
    <w:rsid w:val="008421D2"/>
    <w:rsid w:val="00843603"/>
    <w:rsid w:val="00845413"/>
    <w:rsid w:val="00845D8B"/>
    <w:rsid w:val="0084601B"/>
    <w:rsid w:val="0085016E"/>
    <w:rsid w:val="008512E9"/>
    <w:rsid w:val="00851971"/>
    <w:rsid w:val="00852C39"/>
    <w:rsid w:val="008551EF"/>
    <w:rsid w:val="0085588F"/>
    <w:rsid w:val="00856C07"/>
    <w:rsid w:val="00861A4D"/>
    <w:rsid w:val="0086282A"/>
    <w:rsid w:val="00865E77"/>
    <w:rsid w:val="00870704"/>
    <w:rsid w:val="008857EC"/>
    <w:rsid w:val="00887E5B"/>
    <w:rsid w:val="00892CBD"/>
    <w:rsid w:val="00893D3B"/>
    <w:rsid w:val="008965E0"/>
    <w:rsid w:val="008978AF"/>
    <w:rsid w:val="008A117A"/>
    <w:rsid w:val="008A3647"/>
    <w:rsid w:val="008A3901"/>
    <w:rsid w:val="008A48F8"/>
    <w:rsid w:val="008A54B4"/>
    <w:rsid w:val="008A633E"/>
    <w:rsid w:val="008A70D1"/>
    <w:rsid w:val="008A796E"/>
    <w:rsid w:val="008B08FD"/>
    <w:rsid w:val="008B7E6D"/>
    <w:rsid w:val="008C2F4E"/>
    <w:rsid w:val="008C3569"/>
    <w:rsid w:val="008C62EF"/>
    <w:rsid w:val="008C6CDA"/>
    <w:rsid w:val="008D3836"/>
    <w:rsid w:val="008D43D9"/>
    <w:rsid w:val="008D7221"/>
    <w:rsid w:val="008E203D"/>
    <w:rsid w:val="008E50A3"/>
    <w:rsid w:val="008E5224"/>
    <w:rsid w:val="008E5FE4"/>
    <w:rsid w:val="008E61F6"/>
    <w:rsid w:val="008E76CA"/>
    <w:rsid w:val="008F3020"/>
    <w:rsid w:val="008F48F6"/>
    <w:rsid w:val="008F4F98"/>
    <w:rsid w:val="0090099A"/>
    <w:rsid w:val="00901367"/>
    <w:rsid w:val="00901423"/>
    <w:rsid w:val="0090150B"/>
    <w:rsid w:val="009031F5"/>
    <w:rsid w:val="009051F1"/>
    <w:rsid w:val="009058B8"/>
    <w:rsid w:val="0090645F"/>
    <w:rsid w:val="0090740F"/>
    <w:rsid w:val="00907423"/>
    <w:rsid w:val="0090792D"/>
    <w:rsid w:val="009109EC"/>
    <w:rsid w:val="00911F96"/>
    <w:rsid w:val="00913DD6"/>
    <w:rsid w:val="00914582"/>
    <w:rsid w:val="00914846"/>
    <w:rsid w:val="00916867"/>
    <w:rsid w:val="0092120B"/>
    <w:rsid w:val="00921479"/>
    <w:rsid w:val="0092159E"/>
    <w:rsid w:val="00922CC6"/>
    <w:rsid w:val="00923665"/>
    <w:rsid w:val="00924855"/>
    <w:rsid w:val="009266E4"/>
    <w:rsid w:val="00926E50"/>
    <w:rsid w:val="00926F8E"/>
    <w:rsid w:val="0092799C"/>
    <w:rsid w:val="00930515"/>
    <w:rsid w:val="00931FAD"/>
    <w:rsid w:val="009326DA"/>
    <w:rsid w:val="00933BFB"/>
    <w:rsid w:val="00936849"/>
    <w:rsid w:val="00936B8C"/>
    <w:rsid w:val="00941BD9"/>
    <w:rsid w:val="00942498"/>
    <w:rsid w:val="00942D3F"/>
    <w:rsid w:val="0094442E"/>
    <w:rsid w:val="009502BF"/>
    <w:rsid w:val="00951726"/>
    <w:rsid w:val="00955786"/>
    <w:rsid w:val="00960063"/>
    <w:rsid w:val="009612D2"/>
    <w:rsid w:val="00961721"/>
    <w:rsid w:val="009622D9"/>
    <w:rsid w:val="00963D86"/>
    <w:rsid w:val="00964CE3"/>
    <w:rsid w:val="00964D62"/>
    <w:rsid w:val="0096500A"/>
    <w:rsid w:val="00971D06"/>
    <w:rsid w:val="0097236F"/>
    <w:rsid w:val="00972955"/>
    <w:rsid w:val="009744F0"/>
    <w:rsid w:val="00975AFE"/>
    <w:rsid w:val="00975EF4"/>
    <w:rsid w:val="009826FA"/>
    <w:rsid w:val="00984457"/>
    <w:rsid w:val="00986620"/>
    <w:rsid w:val="00986BCE"/>
    <w:rsid w:val="00990B68"/>
    <w:rsid w:val="00995564"/>
    <w:rsid w:val="00995C3E"/>
    <w:rsid w:val="009A0D5E"/>
    <w:rsid w:val="009A1EBA"/>
    <w:rsid w:val="009A24E4"/>
    <w:rsid w:val="009A34E5"/>
    <w:rsid w:val="009A358F"/>
    <w:rsid w:val="009A5249"/>
    <w:rsid w:val="009A65BE"/>
    <w:rsid w:val="009A748E"/>
    <w:rsid w:val="009B0A64"/>
    <w:rsid w:val="009B0E4D"/>
    <w:rsid w:val="009B10BE"/>
    <w:rsid w:val="009B4830"/>
    <w:rsid w:val="009B51AE"/>
    <w:rsid w:val="009B554D"/>
    <w:rsid w:val="009B7C0E"/>
    <w:rsid w:val="009C0347"/>
    <w:rsid w:val="009C1604"/>
    <w:rsid w:val="009C1B01"/>
    <w:rsid w:val="009C39FB"/>
    <w:rsid w:val="009D00FF"/>
    <w:rsid w:val="009D2FD6"/>
    <w:rsid w:val="009D4054"/>
    <w:rsid w:val="009D63CF"/>
    <w:rsid w:val="009E3110"/>
    <w:rsid w:val="009E3BDD"/>
    <w:rsid w:val="009E4BE7"/>
    <w:rsid w:val="009E5031"/>
    <w:rsid w:val="009E63B7"/>
    <w:rsid w:val="009E7932"/>
    <w:rsid w:val="009F1718"/>
    <w:rsid w:val="009F4D8F"/>
    <w:rsid w:val="009F57C7"/>
    <w:rsid w:val="00A03808"/>
    <w:rsid w:val="00A134C3"/>
    <w:rsid w:val="00A16AAA"/>
    <w:rsid w:val="00A17530"/>
    <w:rsid w:val="00A21270"/>
    <w:rsid w:val="00A21D16"/>
    <w:rsid w:val="00A229EF"/>
    <w:rsid w:val="00A236FB"/>
    <w:rsid w:val="00A2452C"/>
    <w:rsid w:val="00A24718"/>
    <w:rsid w:val="00A24C35"/>
    <w:rsid w:val="00A24CCA"/>
    <w:rsid w:val="00A32B6E"/>
    <w:rsid w:val="00A32F8C"/>
    <w:rsid w:val="00A34253"/>
    <w:rsid w:val="00A356AE"/>
    <w:rsid w:val="00A36C99"/>
    <w:rsid w:val="00A425A1"/>
    <w:rsid w:val="00A42DA5"/>
    <w:rsid w:val="00A449D9"/>
    <w:rsid w:val="00A44DBE"/>
    <w:rsid w:val="00A4584E"/>
    <w:rsid w:val="00A45926"/>
    <w:rsid w:val="00A46ABA"/>
    <w:rsid w:val="00A47796"/>
    <w:rsid w:val="00A47B44"/>
    <w:rsid w:val="00A47F25"/>
    <w:rsid w:val="00A52794"/>
    <w:rsid w:val="00A532E2"/>
    <w:rsid w:val="00A535C3"/>
    <w:rsid w:val="00A53A71"/>
    <w:rsid w:val="00A5589D"/>
    <w:rsid w:val="00A57FA7"/>
    <w:rsid w:val="00A60E6E"/>
    <w:rsid w:val="00A6232A"/>
    <w:rsid w:val="00A62747"/>
    <w:rsid w:val="00A631C4"/>
    <w:rsid w:val="00A63E7A"/>
    <w:rsid w:val="00A65BF6"/>
    <w:rsid w:val="00A66B65"/>
    <w:rsid w:val="00A66DC7"/>
    <w:rsid w:val="00A66EE9"/>
    <w:rsid w:val="00A71054"/>
    <w:rsid w:val="00A71983"/>
    <w:rsid w:val="00A75838"/>
    <w:rsid w:val="00A8026A"/>
    <w:rsid w:val="00A808BE"/>
    <w:rsid w:val="00A8240D"/>
    <w:rsid w:val="00A90ADB"/>
    <w:rsid w:val="00A9124A"/>
    <w:rsid w:val="00A9307B"/>
    <w:rsid w:val="00A94777"/>
    <w:rsid w:val="00A94AD9"/>
    <w:rsid w:val="00AA331C"/>
    <w:rsid w:val="00AA470E"/>
    <w:rsid w:val="00AA7211"/>
    <w:rsid w:val="00AA796F"/>
    <w:rsid w:val="00AB2281"/>
    <w:rsid w:val="00AB2563"/>
    <w:rsid w:val="00AB2575"/>
    <w:rsid w:val="00AB3D70"/>
    <w:rsid w:val="00AB4AC6"/>
    <w:rsid w:val="00AC2CF2"/>
    <w:rsid w:val="00AC426F"/>
    <w:rsid w:val="00AC6B45"/>
    <w:rsid w:val="00AC6D41"/>
    <w:rsid w:val="00AC76B7"/>
    <w:rsid w:val="00AD16C3"/>
    <w:rsid w:val="00AD4649"/>
    <w:rsid w:val="00AD4C39"/>
    <w:rsid w:val="00AD6196"/>
    <w:rsid w:val="00AD7D2F"/>
    <w:rsid w:val="00AE0412"/>
    <w:rsid w:val="00AE0DA3"/>
    <w:rsid w:val="00AE13F4"/>
    <w:rsid w:val="00AE1529"/>
    <w:rsid w:val="00AE2A67"/>
    <w:rsid w:val="00AE54D1"/>
    <w:rsid w:val="00AE556E"/>
    <w:rsid w:val="00AE7CAD"/>
    <w:rsid w:val="00AF0F99"/>
    <w:rsid w:val="00AF114F"/>
    <w:rsid w:val="00AF2C90"/>
    <w:rsid w:val="00AF3495"/>
    <w:rsid w:val="00AF3CD3"/>
    <w:rsid w:val="00AF4051"/>
    <w:rsid w:val="00AF4DC8"/>
    <w:rsid w:val="00AF67D3"/>
    <w:rsid w:val="00B0131E"/>
    <w:rsid w:val="00B01DDE"/>
    <w:rsid w:val="00B02CE8"/>
    <w:rsid w:val="00B03D91"/>
    <w:rsid w:val="00B066CD"/>
    <w:rsid w:val="00B071BC"/>
    <w:rsid w:val="00B076D6"/>
    <w:rsid w:val="00B1056D"/>
    <w:rsid w:val="00B1104A"/>
    <w:rsid w:val="00B17A43"/>
    <w:rsid w:val="00B21B46"/>
    <w:rsid w:val="00B22129"/>
    <w:rsid w:val="00B23434"/>
    <w:rsid w:val="00B24771"/>
    <w:rsid w:val="00B25EAA"/>
    <w:rsid w:val="00B30679"/>
    <w:rsid w:val="00B32E69"/>
    <w:rsid w:val="00B34F20"/>
    <w:rsid w:val="00B35E91"/>
    <w:rsid w:val="00B40116"/>
    <w:rsid w:val="00B401E1"/>
    <w:rsid w:val="00B403AC"/>
    <w:rsid w:val="00B4050A"/>
    <w:rsid w:val="00B42188"/>
    <w:rsid w:val="00B42C01"/>
    <w:rsid w:val="00B441EE"/>
    <w:rsid w:val="00B447CD"/>
    <w:rsid w:val="00B509CF"/>
    <w:rsid w:val="00B5180C"/>
    <w:rsid w:val="00B52150"/>
    <w:rsid w:val="00B553F4"/>
    <w:rsid w:val="00B57010"/>
    <w:rsid w:val="00B57F8F"/>
    <w:rsid w:val="00B60480"/>
    <w:rsid w:val="00B611C5"/>
    <w:rsid w:val="00B626F6"/>
    <w:rsid w:val="00B62930"/>
    <w:rsid w:val="00B63384"/>
    <w:rsid w:val="00B63F3F"/>
    <w:rsid w:val="00B64D07"/>
    <w:rsid w:val="00B65190"/>
    <w:rsid w:val="00B65579"/>
    <w:rsid w:val="00B6579A"/>
    <w:rsid w:val="00B67F1A"/>
    <w:rsid w:val="00B704A3"/>
    <w:rsid w:val="00B7125C"/>
    <w:rsid w:val="00B731F7"/>
    <w:rsid w:val="00B73FCF"/>
    <w:rsid w:val="00B74C9C"/>
    <w:rsid w:val="00B7657B"/>
    <w:rsid w:val="00B774F8"/>
    <w:rsid w:val="00B8117B"/>
    <w:rsid w:val="00B816C5"/>
    <w:rsid w:val="00B825FB"/>
    <w:rsid w:val="00B839F6"/>
    <w:rsid w:val="00B8619B"/>
    <w:rsid w:val="00B91245"/>
    <w:rsid w:val="00B92576"/>
    <w:rsid w:val="00B9441D"/>
    <w:rsid w:val="00B96CCA"/>
    <w:rsid w:val="00BA04BB"/>
    <w:rsid w:val="00BA0832"/>
    <w:rsid w:val="00BA10C2"/>
    <w:rsid w:val="00BA1AD3"/>
    <w:rsid w:val="00BA27CF"/>
    <w:rsid w:val="00BA42F7"/>
    <w:rsid w:val="00BA5B15"/>
    <w:rsid w:val="00BA679D"/>
    <w:rsid w:val="00BB1EEE"/>
    <w:rsid w:val="00BB212F"/>
    <w:rsid w:val="00BB2A80"/>
    <w:rsid w:val="00BB5BA2"/>
    <w:rsid w:val="00BB5EC9"/>
    <w:rsid w:val="00BB63F0"/>
    <w:rsid w:val="00BB76CD"/>
    <w:rsid w:val="00BC20C0"/>
    <w:rsid w:val="00BC4AE4"/>
    <w:rsid w:val="00BC5A80"/>
    <w:rsid w:val="00BC7648"/>
    <w:rsid w:val="00BC771D"/>
    <w:rsid w:val="00BD1E2F"/>
    <w:rsid w:val="00BD24A9"/>
    <w:rsid w:val="00BD374B"/>
    <w:rsid w:val="00BD3898"/>
    <w:rsid w:val="00BD5777"/>
    <w:rsid w:val="00BD6481"/>
    <w:rsid w:val="00BD657B"/>
    <w:rsid w:val="00BE13DB"/>
    <w:rsid w:val="00BE1AFA"/>
    <w:rsid w:val="00BE272C"/>
    <w:rsid w:val="00BE3913"/>
    <w:rsid w:val="00BE5267"/>
    <w:rsid w:val="00BE617E"/>
    <w:rsid w:val="00BE71B7"/>
    <w:rsid w:val="00BE7CED"/>
    <w:rsid w:val="00BF1C95"/>
    <w:rsid w:val="00BF30B7"/>
    <w:rsid w:val="00BF3BCD"/>
    <w:rsid w:val="00BF6628"/>
    <w:rsid w:val="00BF72CB"/>
    <w:rsid w:val="00C02381"/>
    <w:rsid w:val="00C02DEC"/>
    <w:rsid w:val="00C047A9"/>
    <w:rsid w:val="00C0694F"/>
    <w:rsid w:val="00C1002E"/>
    <w:rsid w:val="00C1236A"/>
    <w:rsid w:val="00C1345C"/>
    <w:rsid w:val="00C15BC5"/>
    <w:rsid w:val="00C1612C"/>
    <w:rsid w:val="00C16E47"/>
    <w:rsid w:val="00C17739"/>
    <w:rsid w:val="00C202AD"/>
    <w:rsid w:val="00C20EC8"/>
    <w:rsid w:val="00C23D93"/>
    <w:rsid w:val="00C247D9"/>
    <w:rsid w:val="00C25042"/>
    <w:rsid w:val="00C26729"/>
    <w:rsid w:val="00C269BE"/>
    <w:rsid w:val="00C27E4D"/>
    <w:rsid w:val="00C34956"/>
    <w:rsid w:val="00C37410"/>
    <w:rsid w:val="00C40F6D"/>
    <w:rsid w:val="00C415B1"/>
    <w:rsid w:val="00C42FF4"/>
    <w:rsid w:val="00C431BF"/>
    <w:rsid w:val="00C46E7B"/>
    <w:rsid w:val="00C47DFA"/>
    <w:rsid w:val="00C502D1"/>
    <w:rsid w:val="00C51C52"/>
    <w:rsid w:val="00C528E4"/>
    <w:rsid w:val="00C5377E"/>
    <w:rsid w:val="00C542C6"/>
    <w:rsid w:val="00C55E74"/>
    <w:rsid w:val="00C5747C"/>
    <w:rsid w:val="00C57F71"/>
    <w:rsid w:val="00C61C1B"/>
    <w:rsid w:val="00C64E55"/>
    <w:rsid w:val="00C65171"/>
    <w:rsid w:val="00C66AFF"/>
    <w:rsid w:val="00C679BD"/>
    <w:rsid w:val="00C7053E"/>
    <w:rsid w:val="00C70C78"/>
    <w:rsid w:val="00C729F2"/>
    <w:rsid w:val="00C72D03"/>
    <w:rsid w:val="00C73FAC"/>
    <w:rsid w:val="00C740E6"/>
    <w:rsid w:val="00C74F4D"/>
    <w:rsid w:val="00C754F0"/>
    <w:rsid w:val="00C75E0D"/>
    <w:rsid w:val="00C76137"/>
    <w:rsid w:val="00C77133"/>
    <w:rsid w:val="00C77ACD"/>
    <w:rsid w:val="00C82BB7"/>
    <w:rsid w:val="00C85B12"/>
    <w:rsid w:val="00C90087"/>
    <w:rsid w:val="00C904DF"/>
    <w:rsid w:val="00C90F51"/>
    <w:rsid w:val="00C9477A"/>
    <w:rsid w:val="00C9586A"/>
    <w:rsid w:val="00C95DC3"/>
    <w:rsid w:val="00C95F14"/>
    <w:rsid w:val="00C9620C"/>
    <w:rsid w:val="00C977D9"/>
    <w:rsid w:val="00CA33AF"/>
    <w:rsid w:val="00CA3AE5"/>
    <w:rsid w:val="00CA4B4E"/>
    <w:rsid w:val="00CA5612"/>
    <w:rsid w:val="00CA5AAB"/>
    <w:rsid w:val="00CB0015"/>
    <w:rsid w:val="00CB05D7"/>
    <w:rsid w:val="00CB0FFD"/>
    <w:rsid w:val="00CB2289"/>
    <w:rsid w:val="00CB6944"/>
    <w:rsid w:val="00CC0687"/>
    <w:rsid w:val="00CC0E96"/>
    <w:rsid w:val="00CC5805"/>
    <w:rsid w:val="00CC6121"/>
    <w:rsid w:val="00CC6237"/>
    <w:rsid w:val="00CD0153"/>
    <w:rsid w:val="00CD0225"/>
    <w:rsid w:val="00CE13EE"/>
    <w:rsid w:val="00CE250D"/>
    <w:rsid w:val="00CE2F2A"/>
    <w:rsid w:val="00CE3E25"/>
    <w:rsid w:val="00CE6452"/>
    <w:rsid w:val="00CE78D0"/>
    <w:rsid w:val="00CE7F92"/>
    <w:rsid w:val="00CF0126"/>
    <w:rsid w:val="00CF07B0"/>
    <w:rsid w:val="00CF5A46"/>
    <w:rsid w:val="00CF7820"/>
    <w:rsid w:val="00D04367"/>
    <w:rsid w:val="00D0586A"/>
    <w:rsid w:val="00D06810"/>
    <w:rsid w:val="00D06B06"/>
    <w:rsid w:val="00D06CBA"/>
    <w:rsid w:val="00D10061"/>
    <w:rsid w:val="00D16D4F"/>
    <w:rsid w:val="00D17718"/>
    <w:rsid w:val="00D17FF2"/>
    <w:rsid w:val="00D2035B"/>
    <w:rsid w:val="00D20BDA"/>
    <w:rsid w:val="00D217A4"/>
    <w:rsid w:val="00D25EC9"/>
    <w:rsid w:val="00D2674C"/>
    <w:rsid w:val="00D269AF"/>
    <w:rsid w:val="00D27B4C"/>
    <w:rsid w:val="00D319FD"/>
    <w:rsid w:val="00D32F2F"/>
    <w:rsid w:val="00D3439B"/>
    <w:rsid w:val="00D35610"/>
    <w:rsid w:val="00D360BC"/>
    <w:rsid w:val="00D4029E"/>
    <w:rsid w:val="00D427B3"/>
    <w:rsid w:val="00D43239"/>
    <w:rsid w:val="00D437D9"/>
    <w:rsid w:val="00D43F89"/>
    <w:rsid w:val="00D44BC8"/>
    <w:rsid w:val="00D4590C"/>
    <w:rsid w:val="00D46E86"/>
    <w:rsid w:val="00D50AA5"/>
    <w:rsid w:val="00D51FF6"/>
    <w:rsid w:val="00D530B8"/>
    <w:rsid w:val="00D5386A"/>
    <w:rsid w:val="00D538B2"/>
    <w:rsid w:val="00D55759"/>
    <w:rsid w:val="00D55A39"/>
    <w:rsid w:val="00D562B9"/>
    <w:rsid w:val="00D56FA1"/>
    <w:rsid w:val="00D575EB"/>
    <w:rsid w:val="00D606D0"/>
    <w:rsid w:val="00D60793"/>
    <w:rsid w:val="00D61605"/>
    <w:rsid w:val="00D66A2C"/>
    <w:rsid w:val="00D66CE8"/>
    <w:rsid w:val="00D6741A"/>
    <w:rsid w:val="00D67E70"/>
    <w:rsid w:val="00D70623"/>
    <w:rsid w:val="00D70FF4"/>
    <w:rsid w:val="00D71295"/>
    <w:rsid w:val="00D71A59"/>
    <w:rsid w:val="00D7454A"/>
    <w:rsid w:val="00D7497B"/>
    <w:rsid w:val="00D74B11"/>
    <w:rsid w:val="00D766C2"/>
    <w:rsid w:val="00D768AA"/>
    <w:rsid w:val="00D81C7A"/>
    <w:rsid w:val="00D84449"/>
    <w:rsid w:val="00D84E1F"/>
    <w:rsid w:val="00D85544"/>
    <w:rsid w:val="00D86ECC"/>
    <w:rsid w:val="00D87B6B"/>
    <w:rsid w:val="00D90C82"/>
    <w:rsid w:val="00D920EA"/>
    <w:rsid w:val="00D92F3B"/>
    <w:rsid w:val="00D9309B"/>
    <w:rsid w:val="00D955A8"/>
    <w:rsid w:val="00D97192"/>
    <w:rsid w:val="00DA1B15"/>
    <w:rsid w:val="00DA347A"/>
    <w:rsid w:val="00DA4510"/>
    <w:rsid w:val="00DA633A"/>
    <w:rsid w:val="00DA6DF4"/>
    <w:rsid w:val="00DB0D6F"/>
    <w:rsid w:val="00DB1CC3"/>
    <w:rsid w:val="00DB25C8"/>
    <w:rsid w:val="00DB4FA5"/>
    <w:rsid w:val="00DB5A69"/>
    <w:rsid w:val="00DB60A5"/>
    <w:rsid w:val="00DC0745"/>
    <w:rsid w:val="00DC2348"/>
    <w:rsid w:val="00DC3920"/>
    <w:rsid w:val="00DC3B7F"/>
    <w:rsid w:val="00DC3E9F"/>
    <w:rsid w:val="00DC4EF0"/>
    <w:rsid w:val="00DC528A"/>
    <w:rsid w:val="00DC5427"/>
    <w:rsid w:val="00DD133F"/>
    <w:rsid w:val="00DD14C4"/>
    <w:rsid w:val="00DD199E"/>
    <w:rsid w:val="00DD1FFF"/>
    <w:rsid w:val="00DD314E"/>
    <w:rsid w:val="00DD3F1D"/>
    <w:rsid w:val="00DD5984"/>
    <w:rsid w:val="00DD6FE4"/>
    <w:rsid w:val="00DD7E6C"/>
    <w:rsid w:val="00DE2368"/>
    <w:rsid w:val="00DE23E1"/>
    <w:rsid w:val="00DE2C6C"/>
    <w:rsid w:val="00DE354E"/>
    <w:rsid w:val="00DE527C"/>
    <w:rsid w:val="00DF17BD"/>
    <w:rsid w:val="00DF1A46"/>
    <w:rsid w:val="00DF2718"/>
    <w:rsid w:val="00DF2A92"/>
    <w:rsid w:val="00DF490D"/>
    <w:rsid w:val="00E00F89"/>
    <w:rsid w:val="00E01427"/>
    <w:rsid w:val="00E01DF5"/>
    <w:rsid w:val="00E02CCC"/>
    <w:rsid w:val="00E04F32"/>
    <w:rsid w:val="00E05F3A"/>
    <w:rsid w:val="00E062B7"/>
    <w:rsid w:val="00E077E1"/>
    <w:rsid w:val="00E10541"/>
    <w:rsid w:val="00E1477D"/>
    <w:rsid w:val="00E177EB"/>
    <w:rsid w:val="00E17F6C"/>
    <w:rsid w:val="00E2570E"/>
    <w:rsid w:val="00E25B16"/>
    <w:rsid w:val="00E30156"/>
    <w:rsid w:val="00E3218A"/>
    <w:rsid w:val="00E348C0"/>
    <w:rsid w:val="00E352C5"/>
    <w:rsid w:val="00E44314"/>
    <w:rsid w:val="00E51BFD"/>
    <w:rsid w:val="00E52086"/>
    <w:rsid w:val="00E52B16"/>
    <w:rsid w:val="00E5325C"/>
    <w:rsid w:val="00E5328E"/>
    <w:rsid w:val="00E53D94"/>
    <w:rsid w:val="00E57EB1"/>
    <w:rsid w:val="00E603DB"/>
    <w:rsid w:val="00E61319"/>
    <w:rsid w:val="00E634A7"/>
    <w:rsid w:val="00E64822"/>
    <w:rsid w:val="00E657F4"/>
    <w:rsid w:val="00E65E1C"/>
    <w:rsid w:val="00E732ED"/>
    <w:rsid w:val="00E743C6"/>
    <w:rsid w:val="00E761E1"/>
    <w:rsid w:val="00E77871"/>
    <w:rsid w:val="00E81217"/>
    <w:rsid w:val="00E81C15"/>
    <w:rsid w:val="00E82DE1"/>
    <w:rsid w:val="00E844E4"/>
    <w:rsid w:val="00E900CF"/>
    <w:rsid w:val="00E96891"/>
    <w:rsid w:val="00E97757"/>
    <w:rsid w:val="00EA0795"/>
    <w:rsid w:val="00EA16BB"/>
    <w:rsid w:val="00EA259F"/>
    <w:rsid w:val="00EA395D"/>
    <w:rsid w:val="00EA3D5B"/>
    <w:rsid w:val="00EA621E"/>
    <w:rsid w:val="00EA6278"/>
    <w:rsid w:val="00EA706B"/>
    <w:rsid w:val="00EA7097"/>
    <w:rsid w:val="00EB0D69"/>
    <w:rsid w:val="00EB13D0"/>
    <w:rsid w:val="00EB1B6C"/>
    <w:rsid w:val="00EB2E5C"/>
    <w:rsid w:val="00EB3D73"/>
    <w:rsid w:val="00EB67CD"/>
    <w:rsid w:val="00EB7F09"/>
    <w:rsid w:val="00EC231D"/>
    <w:rsid w:val="00EC3C9C"/>
    <w:rsid w:val="00EC47B1"/>
    <w:rsid w:val="00EC4A51"/>
    <w:rsid w:val="00EC574C"/>
    <w:rsid w:val="00EC6E6A"/>
    <w:rsid w:val="00ED09CD"/>
    <w:rsid w:val="00ED30EA"/>
    <w:rsid w:val="00ED3A74"/>
    <w:rsid w:val="00EE0DD6"/>
    <w:rsid w:val="00EE161F"/>
    <w:rsid w:val="00EE365F"/>
    <w:rsid w:val="00EE40D7"/>
    <w:rsid w:val="00EE4E54"/>
    <w:rsid w:val="00EE5C30"/>
    <w:rsid w:val="00EE69B2"/>
    <w:rsid w:val="00EE7D2D"/>
    <w:rsid w:val="00EF2405"/>
    <w:rsid w:val="00EF4081"/>
    <w:rsid w:val="00EF450B"/>
    <w:rsid w:val="00EF7693"/>
    <w:rsid w:val="00F008FA"/>
    <w:rsid w:val="00F02DC4"/>
    <w:rsid w:val="00F03394"/>
    <w:rsid w:val="00F04C49"/>
    <w:rsid w:val="00F0558F"/>
    <w:rsid w:val="00F07585"/>
    <w:rsid w:val="00F07766"/>
    <w:rsid w:val="00F078FC"/>
    <w:rsid w:val="00F13100"/>
    <w:rsid w:val="00F133EB"/>
    <w:rsid w:val="00F1719C"/>
    <w:rsid w:val="00F20BE5"/>
    <w:rsid w:val="00F20E79"/>
    <w:rsid w:val="00F20F29"/>
    <w:rsid w:val="00F257F0"/>
    <w:rsid w:val="00F301B7"/>
    <w:rsid w:val="00F3046D"/>
    <w:rsid w:val="00F32638"/>
    <w:rsid w:val="00F34CA5"/>
    <w:rsid w:val="00F40C2B"/>
    <w:rsid w:val="00F41C36"/>
    <w:rsid w:val="00F43CC0"/>
    <w:rsid w:val="00F43ED9"/>
    <w:rsid w:val="00F44F6F"/>
    <w:rsid w:val="00F4563E"/>
    <w:rsid w:val="00F45D84"/>
    <w:rsid w:val="00F46016"/>
    <w:rsid w:val="00F51541"/>
    <w:rsid w:val="00F530E8"/>
    <w:rsid w:val="00F53F0B"/>
    <w:rsid w:val="00F54092"/>
    <w:rsid w:val="00F540BB"/>
    <w:rsid w:val="00F56607"/>
    <w:rsid w:val="00F60B3A"/>
    <w:rsid w:val="00F61ACD"/>
    <w:rsid w:val="00F62354"/>
    <w:rsid w:val="00F64263"/>
    <w:rsid w:val="00F64738"/>
    <w:rsid w:val="00F64D30"/>
    <w:rsid w:val="00F70A96"/>
    <w:rsid w:val="00F71516"/>
    <w:rsid w:val="00F732D7"/>
    <w:rsid w:val="00F733EA"/>
    <w:rsid w:val="00F750BF"/>
    <w:rsid w:val="00F7678C"/>
    <w:rsid w:val="00F85F7B"/>
    <w:rsid w:val="00F864E4"/>
    <w:rsid w:val="00F87B80"/>
    <w:rsid w:val="00F907DC"/>
    <w:rsid w:val="00F90EFE"/>
    <w:rsid w:val="00F926EA"/>
    <w:rsid w:val="00F932DC"/>
    <w:rsid w:val="00F93600"/>
    <w:rsid w:val="00F948F8"/>
    <w:rsid w:val="00F94CF9"/>
    <w:rsid w:val="00F94D61"/>
    <w:rsid w:val="00F94ED9"/>
    <w:rsid w:val="00FA0070"/>
    <w:rsid w:val="00FA19CE"/>
    <w:rsid w:val="00FA22A7"/>
    <w:rsid w:val="00FA5ED4"/>
    <w:rsid w:val="00FB2254"/>
    <w:rsid w:val="00FB2463"/>
    <w:rsid w:val="00FB498C"/>
    <w:rsid w:val="00FB6929"/>
    <w:rsid w:val="00FB6DBA"/>
    <w:rsid w:val="00FB6E57"/>
    <w:rsid w:val="00FB7649"/>
    <w:rsid w:val="00FB7828"/>
    <w:rsid w:val="00FB783F"/>
    <w:rsid w:val="00FC0379"/>
    <w:rsid w:val="00FC0E53"/>
    <w:rsid w:val="00FC2BD6"/>
    <w:rsid w:val="00FC3B50"/>
    <w:rsid w:val="00FC3BF0"/>
    <w:rsid w:val="00FC4F91"/>
    <w:rsid w:val="00FC550A"/>
    <w:rsid w:val="00FC57B2"/>
    <w:rsid w:val="00FC6740"/>
    <w:rsid w:val="00FC6A5E"/>
    <w:rsid w:val="00FC6E94"/>
    <w:rsid w:val="00FC7481"/>
    <w:rsid w:val="00FC7566"/>
    <w:rsid w:val="00FC7E41"/>
    <w:rsid w:val="00FD082D"/>
    <w:rsid w:val="00FD106B"/>
    <w:rsid w:val="00FD1277"/>
    <w:rsid w:val="00FD152D"/>
    <w:rsid w:val="00FD15BA"/>
    <w:rsid w:val="00FD32D6"/>
    <w:rsid w:val="00FD476B"/>
    <w:rsid w:val="00FD655B"/>
    <w:rsid w:val="00FE3FC2"/>
    <w:rsid w:val="00FE601C"/>
    <w:rsid w:val="00FE6152"/>
    <w:rsid w:val="00FE7C8F"/>
    <w:rsid w:val="00FF0508"/>
    <w:rsid w:val="00FF12EE"/>
    <w:rsid w:val="00FF5B3E"/>
    <w:rsid w:val="00FF6D6B"/>
    <w:rsid w:val="01785130"/>
    <w:rsid w:val="01D25105"/>
    <w:rsid w:val="01F264AC"/>
    <w:rsid w:val="02572D2F"/>
    <w:rsid w:val="03E76CF8"/>
    <w:rsid w:val="04640CFE"/>
    <w:rsid w:val="052B5C0A"/>
    <w:rsid w:val="054E5AC6"/>
    <w:rsid w:val="05527610"/>
    <w:rsid w:val="0580382D"/>
    <w:rsid w:val="059B2A73"/>
    <w:rsid w:val="06457E90"/>
    <w:rsid w:val="06813EA0"/>
    <w:rsid w:val="06857380"/>
    <w:rsid w:val="06A602F9"/>
    <w:rsid w:val="06B13FDA"/>
    <w:rsid w:val="06E8277A"/>
    <w:rsid w:val="06FE5394"/>
    <w:rsid w:val="075554B1"/>
    <w:rsid w:val="08226717"/>
    <w:rsid w:val="08795EFA"/>
    <w:rsid w:val="08CF072B"/>
    <w:rsid w:val="090C0B50"/>
    <w:rsid w:val="0994305C"/>
    <w:rsid w:val="09BA15E7"/>
    <w:rsid w:val="09FF03CA"/>
    <w:rsid w:val="0A1618A9"/>
    <w:rsid w:val="0A74669E"/>
    <w:rsid w:val="0AA655C5"/>
    <w:rsid w:val="0AEC7B1E"/>
    <w:rsid w:val="0B924DEC"/>
    <w:rsid w:val="0C17443B"/>
    <w:rsid w:val="0CC52A46"/>
    <w:rsid w:val="0D251CBC"/>
    <w:rsid w:val="0D9E0AC9"/>
    <w:rsid w:val="0DFB0B0D"/>
    <w:rsid w:val="0E017A1C"/>
    <w:rsid w:val="0E767DEB"/>
    <w:rsid w:val="0EEC664F"/>
    <w:rsid w:val="0F171E6B"/>
    <w:rsid w:val="0FB8375D"/>
    <w:rsid w:val="0FC24482"/>
    <w:rsid w:val="110018B9"/>
    <w:rsid w:val="121E1857"/>
    <w:rsid w:val="125E6CA0"/>
    <w:rsid w:val="12A23559"/>
    <w:rsid w:val="12E50E62"/>
    <w:rsid w:val="135652D3"/>
    <w:rsid w:val="1584290A"/>
    <w:rsid w:val="16BC24C0"/>
    <w:rsid w:val="175B7696"/>
    <w:rsid w:val="18301C45"/>
    <w:rsid w:val="183B47D0"/>
    <w:rsid w:val="183C2144"/>
    <w:rsid w:val="184128F0"/>
    <w:rsid w:val="197A0B0D"/>
    <w:rsid w:val="19DE42FA"/>
    <w:rsid w:val="1AA52B43"/>
    <w:rsid w:val="1AB57844"/>
    <w:rsid w:val="1B0F4255"/>
    <w:rsid w:val="1B761763"/>
    <w:rsid w:val="1C591CBF"/>
    <w:rsid w:val="1C7554F0"/>
    <w:rsid w:val="1C7A3685"/>
    <w:rsid w:val="1D201CE2"/>
    <w:rsid w:val="1DBB049D"/>
    <w:rsid w:val="1E4F543C"/>
    <w:rsid w:val="1ED01304"/>
    <w:rsid w:val="1EF16457"/>
    <w:rsid w:val="20D84A57"/>
    <w:rsid w:val="20EA6772"/>
    <w:rsid w:val="215803E5"/>
    <w:rsid w:val="21D21CBB"/>
    <w:rsid w:val="227C0CE7"/>
    <w:rsid w:val="22F939A2"/>
    <w:rsid w:val="23814E51"/>
    <w:rsid w:val="23D44E39"/>
    <w:rsid w:val="2417561F"/>
    <w:rsid w:val="245520EA"/>
    <w:rsid w:val="247C3D41"/>
    <w:rsid w:val="248E2704"/>
    <w:rsid w:val="250828B5"/>
    <w:rsid w:val="257259DE"/>
    <w:rsid w:val="25BA483B"/>
    <w:rsid w:val="25EF6576"/>
    <w:rsid w:val="26FD10A2"/>
    <w:rsid w:val="27C3180A"/>
    <w:rsid w:val="2972546D"/>
    <w:rsid w:val="2AC37A03"/>
    <w:rsid w:val="2B793475"/>
    <w:rsid w:val="2C06298B"/>
    <w:rsid w:val="2C4E68C2"/>
    <w:rsid w:val="2CC111A7"/>
    <w:rsid w:val="2CE071BD"/>
    <w:rsid w:val="2D0E26CB"/>
    <w:rsid w:val="2D770697"/>
    <w:rsid w:val="2D9834BB"/>
    <w:rsid w:val="2DAB44FE"/>
    <w:rsid w:val="2E1F1C77"/>
    <w:rsid w:val="2E552677"/>
    <w:rsid w:val="2E571813"/>
    <w:rsid w:val="2F044B2B"/>
    <w:rsid w:val="2F2D245F"/>
    <w:rsid w:val="2F382420"/>
    <w:rsid w:val="2F4B1CB9"/>
    <w:rsid w:val="3000402C"/>
    <w:rsid w:val="301E5513"/>
    <w:rsid w:val="309960C8"/>
    <w:rsid w:val="309D2DCF"/>
    <w:rsid w:val="30F11D85"/>
    <w:rsid w:val="310350D8"/>
    <w:rsid w:val="314305E0"/>
    <w:rsid w:val="325D4798"/>
    <w:rsid w:val="326C1A24"/>
    <w:rsid w:val="3303383B"/>
    <w:rsid w:val="33722FB2"/>
    <w:rsid w:val="33942D83"/>
    <w:rsid w:val="340A6DE5"/>
    <w:rsid w:val="34C245ED"/>
    <w:rsid w:val="357D4991"/>
    <w:rsid w:val="35FA3813"/>
    <w:rsid w:val="363801FF"/>
    <w:rsid w:val="36960629"/>
    <w:rsid w:val="375401B1"/>
    <w:rsid w:val="37F56039"/>
    <w:rsid w:val="3821021C"/>
    <w:rsid w:val="38843584"/>
    <w:rsid w:val="38B56E7F"/>
    <w:rsid w:val="3A5B1D95"/>
    <w:rsid w:val="3B3011C5"/>
    <w:rsid w:val="3B990F3E"/>
    <w:rsid w:val="3BB23A31"/>
    <w:rsid w:val="3BD01B9A"/>
    <w:rsid w:val="3BE871A5"/>
    <w:rsid w:val="3DB550D7"/>
    <w:rsid w:val="3E81504E"/>
    <w:rsid w:val="3EBB251E"/>
    <w:rsid w:val="3FB845C7"/>
    <w:rsid w:val="3FEF0F2D"/>
    <w:rsid w:val="40190253"/>
    <w:rsid w:val="40406DBD"/>
    <w:rsid w:val="40B7425E"/>
    <w:rsid w:val="40C260AA"/>
    <w:rsid w:val="41600DA5"/>
    <w:rsid w:val="41854557"/>
    <w:rsid w:val="430904BF"/>
    <w:rsid w:val="43493AF8"/>
    <w:rsid w:val="43CF57E2"/>
    <w:rsid w:val="43E343EC"/>
    <w:rsid w:val="43EA6BC7"/>
    <w:rsid w:val="43FA07C9"/>
    <w:rsid w:val="4407115D"/>
    <w:rsid w:val="44BF368A"/>
    <w:rsid w:val="44E47A5D"/>
    <w:rsid w:val="45273C44"/>
    <w:rsid w:val="45F82832"/>
    <w:rsid w:val="479C00EC"/>
    <w:rsid w:val="4808544B"/>
    <w:rsid w:val="480B4A87"/>
    <w:rsid w:val="48204D43"/>
    <w:rsid w:val="484716AF"/>
    <w:rsid w:val="48DE0C7A"/>
    <w:rsid w:val="48F079DC"/>
    <w:rsid w:val="49272376"/>
    <w:rsid w:val="49494751"/>
    <w:rsid w:val="49596DD7"/>
    <w:rsid w:val="495A4D9F"/>
    <w:rsid w:val="4A152B76"/>
    <w:rsid w:val="4B0159B5"/>
    <w:rsid w:val="4B524971"/>
    <w:rsid w:val="4BFF3967"/>
    <w:rsid w:val="4C432148"/>
    <w:rsid w:val="4C6018CD"/>
    <w:rsid w:val="4D141E20"/>
    <w:rsid w:val="4D1915EB"/>
    <w:rsid w:val="4D725DD4"/>
    <w:rsid w:val="4DA06BE5"/>
    <w:rsid w:val="4E180581"/>
    <w:rsid w:val="4E2F2076"/>
    <w:rsid w:val="4E656B79"/>
    <w:rsid w:val="4E6C5858"/>
    <w:rsid w:val="4F1A1905"/>
    <w:rsid w:val="4F5E44F5"/>
    <w:rsid w:val="4FAC0D46"/>
    <w:rsid w:val="4FF3735E"/>
    <w:rsid w:val="507745DA"/>
    <w:rsid w:val="50B831D9"/>
    <w:rsid w:val="50D903F3"/>
    <w:rsid w:val="52DF5E43"/>
    <w:rsid w:val="53D515CD"/>
    <w:rsid w:val="540F1263"/>
    <w:rsid w:val="54BA1F7A"/>
    <w:rsid w:val="54C50768"/>
    <w:rsid w:val="56544ED8"/>
    <w:rsid w:val="56AD71A8"/>
    <w:rsid w:val="56D2624B"/>
    <w:rsid w:val="56D54CF8"/>
    <w:rsid w:val="57DE277E"/>
    <w:rsid w:val="58A5482E"/>
    <w:rsid w:val="58BD5EF0"/>
    <w:rsid w:val="58FA1F55"/>
    <w:rsid w:val="597279CF"/>
    <w:rsid w:val="5A2E2C0A"/>
    <w:rsid w:val="5A501104"/>
    <w:rsid w:val="5AC66C5A"/>
    <w:rsid w:val="5B7F120E"/>
    <w:rsid w:val="5BDB3E69"/>
    <w:rsid w:val="5D552341"/>
    <w:rsid w:val="5D986FD4"/>
    <w:rsid w:val="5DBB4504"/>
    <w:rsid w:val="5E342205"/>
    <w:rsid w:val="5EB037A8"/>
    <w:rsid w:val="5F551349"/>
    <w:rsid w:val="5F9063C0"/>
    <w:rsid w:val="6016082D"/>
    <w:rsid w:val="60A77F57"/>
    <w:rsid w:val="610D08EA"/>
    <w:rsid w:val="61215203"/>
    <w:rsid w:val="61506BBF"/>
    <w:rsid w:val="61733848"/>
    <w:rsid w:val="626F778E"/>
    <w:rsid w:val="632B39E9"/>
    <w:rsid w:val="63E34D6A"/>
    <w:rsid w:val="657107BB"/>
    <w:rsid w:val="65BA132A"/>
    <w:rsid w:val="65C73617"/>
    <w:rsid w:val="66300344"/>
    <w:rsid w:val="66503A4B"/>
    <w:rsid w:val="67310786"/>
    <w:rsid w:val="673F6979"/>
    <w:rsid w:val="67A02CD8"/>
    <w:rsid w:val="6810589E"/>
    <w:rsid w:val="681B2787"/>
    <w:rsid w:val="693607D2"/>
    <w:rsid w:val="69430444"/>
    <w:rsid w:val="697D0FB8"/>
    <w:rsid w:val="69E759DB"/>
    <w:rsid w:val="6A3D7DE4"/>
    <w:rsid w:val="6A570FEC"/>
    <w:rsid w:val="6A8440FE"/>
    <w:rsid w:val="6B245DF7"/>
    <w:rsid w:val="6CBC4F0C"/>
    <w:rsid w:val="6CDB33C9"/>
    <w:rsid w:val="6D3A6B00"/>
    <w:rsid w:val="6E1C5459"/>
    <w:rsid w:val="6E3824E4"/>
    <w:rsid w:val="6E5A60F2"/>
    <w:rsid w:val="6EDE12ED"/>
    <w:rsid w:val="6F4A797A"/>
    <w:rsid w:val="6F993C49"/>
    <w:rsid w:val="6FA6488A"/>
    <w:rsid w:val="6FEF4D5E"/>
    <w:rsid w:val="700306E1"/>
    <w:rsid w:val="704F29FD"/>
    <w:rsid w:val="7085685A"/>
    <w:rsid w:val="70F16650"/>
    <w:rsid w:val="716525D6"/>
    <w:rsid w:val="71A52A8B"/>
    <w:rsid w:val="71EE5DB9"/>
    <w:rsid w:val="72666B6E"/>
    <w:rsid w:val="72A71323"/>
    <w:rsid w:val="73035A79"/>
    <w:rsid w:val="731D5C15"/>
    <w:rsid w:val="73505B9D"/>
    <w:rsid w:val="73555356"/>
    <w:rsid w:val="73AA0A07"/>
    <w:rsid w:val="73EB66DA"/>
    <w:rsid w:val="74050BBF"/>
    <w:rsid w:val="746B04AD"/>
    <w:rsid w:val="74E4476A"/>
    <w:rsid w:val="74E53CDE"/>
    <w:rsid w:val="751B4B80"/>
    <w:rsid w:val="75530243"/>
    <w:rsid w:val="755A725E"/>
    <w:rsid w:val="760F245A"/>
    <w:rsid w:val="76C01839"/>
    <w:rsid w:val="777E0BDF"/>
    <w:rsid w:val="77B35EC7"/>
    <w:rsid w:val="79067767"/>
    <w:rsid w:val="792C55F4"/>
    <w:rsid w:val="7A28063D"/>
    <w:rsid w:val="7A463216"/>
    <w:rsid w:val="7B39247B"/>
    <w:rsid w:val="7B87112A"/>
    <w:rsid w:val="7BE072C6"/>
    <w:rsid w:val="7C8A11FE"/>
    <w:rsid w:val="7CE70784"/>
    <w:rsid w:val="7D697636"/>
    <w:rsid w:val="7DDF17A0"/>
    <w:rsid w:val="7E04646E"/>
    <w:rsid w:val="7EF56679"/>
    <w:rsid w:val="7F125F1F"/>
    <w:rsid w:val="7F7709C7"/>
    <w:rsid w:val="7FAE152B"/>
    <w:rsid w:val="7FFE6DD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3">
    <w:name w:val="heading 1"/>
    <w:basedOn w:val="1"/>
    <w:next w:val="1"/>
    <w:link w:val="86"/>
    <w:qFormat/>
    <w:uiPriority w:val="0"/>
    <w:pPr>
      <w:keepNext/>
      <w:keepLines/>
      <w:widowControl w:val="0"/>
      <w:spacing w:before="312" w:after="312"/>
      <w:jc w:val="both"/>
      <w:outlineLvl w:val="0"/>
    </w:pPr>
    <w:rPr>
      <w:rFonts w:ascii="黑体" w:hAnsi="黑体" w:eastAsia="黑体" w:cs="Times New Roman"/>
      <w:kern w:val="44"/>
      <w:sz w:val="21"/>
      <w:szCs w:val="21"/>
    </w:rPr>
  </w:style>
  <w:style w:type="paragraph" w:styleId="4">
    <w:name w:val="heading 2"/>
    <w:basedOn w:val="1"/>
    <w:next w:val="1"/>
    <w:link w:val="87"/>
    <w:unhideWhenUsed/>
    <w:qFormat/>
    <w:uiPriority w:val="0"/>
    <w:pPr>
      <w:keepNext/>
      <w:keepLines/>
      <w:widowControl w:val="0"/>
      <w:numPr>
        <w:ilvl w:val="1"/>
        <w:numId w:val="1"/>
      </w:numPr>
      <w:spacing w:before="156" w:after="156"/>
      <w:jc w:val="both"/>
      <w:outlineLvl w:val="1"/>
    </w:pPr>
    <w:rPr>
      <w:rFonts w:ascii="Times New Roman" w:hAnsi="Times New Roman" w:eastAsia="黑体" w:cs="Times New Roman"/>
      <w:kern w:val="2"/>
      <w:sz w:val="21"/>
      <w:szCs w:val="21"/>
    </w:rPr>
  </w:style>
  <w:style w:type="paragraph" w:styleId="5">
    <w:name w:val="heading 3"/>
    <w:basedOn w:val="4"/>
    <w:next w:val="1"/>
    <w:link w:val="88"/>
    <w:unhideWhenUsed/>
    <w:qFormat/>
    <w:uiPriority w:val="0"/>
    <w:pPr>
      <w:numPr>
        <w:ilvl w:val="2"/>
      </w:numPr>
      <w:outlineLvl w:val="2"/>
    </w:p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6"/>
    <w:unhideWhenUsed/>
    <w:qFormat/>
    <w:uiPriority w:val="0"/>
    <w:pPr>
      <w:spacing w:after="120"/>
    </w:pPr>
  </w:style>
  <w:style w:type="paragraph" w:styleId="6">
    <w:name w:val="toc 7"/>
    <w:basedOn w:val="1"/>
    <w:next w:val="1"/>
    <w:unhideWhenUsed/>
    <w:qFormat/>
    <w:uiPriority w:val="39"/>
    <w:pPr>
      <w:widowControl w:val="0"/>
      <w:ind w:left="2520" w:leftChars="1200"/>
      <w:jc w:val="both"/>
    </w:pPr>
    <w:rPr>
      <w:rFonts w:asciiTheme="minorHAnsi" w:hAnsiTheme="minorHAnsi" w:eastAsiaTheme="minorEastAsia" w:cstheme="minorBidi"/>
      <w:kern w:val="2"/>
      <w:sz w:val="21"/>
    </w:rPr>
  </w:style>
  <w:style w:type="paragraph" w:styleId="7">
    <w:name w:val="caption"/>
    <w:basedOn w:val="1"/>
    <w:next w:val="1"/>
    <w:unhideWhenUsed/>
    <w:qFormat/>
    <w:uiPriority w:val="35"/>
    <w:rPr>
      <w:rFonts w:eastAsia="黑体" w:asciiTheme="majorHAnsi" w:hAnsiTheme="majorHAnsi" w:cstheme="majorBidi"/>
      <w:sz w:val="20"/>
      <w:szCs w:val="20"/>
    </w:rPr>
  </w:style>
  <w:style w:type="paragraph" w:styleId="8">
    <w:name w:val="Document Map"/>
    <w:basedOn w:val="1"/>
    <w:link w:val="39"/>
    <w:semiHidden/>
    <w:unhideWhenUsed/>
    <w:qFormat/>
    <w:uiPriority w:val="99"/>
    <w:pPr>
      <w:widowControl w:val="0"/>
      <w:jc w:val="both"/>
    </w:pPr>
    <w:rPr>
      <w:rFonts w:hAnsiTheme="minorHAnsi" w:cstheme="minorBidi"/>
      <w:kern w:val="2"/>
      <w:sz w:val="18"/>
      <w:szCs w:val="18"/>
    </w:rPr>
  </w:style>
  <w:style w:type="paragraph" w:styleId="9">
    <w:name w:val="annotation text"/>
    <w:basedOn w:val="1"/>
    <w:link w:val="49"/>
    <w:qFormat/>
    <w:uiPriority w:val="0"/>
    <w:pPr>
      <w:widowControl w:val="0"/>
    </w:pPr>
    <w:rPr>
      <w:rFonts w:ascii="Times New Roman" w:hAnsi="Times New Roman" w:cs="Times New Roman"/>
      <w:kern w:val="2"/>
      <w:sz w:val="21"/>
    </w:rPr>
  </w:style>
  <w:style w:type="paragraph" w:styleId="10">
    <w:name w:val="toc 5"/>
    <w:basedOn w:val="1"/>
    <w:next w:val="1"/>
    <w:unhideWhenUsed/>
    <w:qFormat/>
    <w:uiPriority w:val="39"/>
    <w:pPr>
      <w:widowControl w:val="0"/>
      <w:ind w:left="1680" w:leftChars="800"/>
      <w:jc w:val="both"/>
    </w:pPr>
    <w:rPr>
      <w:rFonts w:asciiTheme="minorHAnsi" w:hAnsiTheme="minorHAnsi" w:eastAsiaTheme="minorEastAsia" w:cstheme="minorBidi"/>
      <w:kern w:val="2"/>
      <w:sz w:val="21"/>
    </w:rPr>
  </w:style>
  <w:style w:type="paragraph" w:styleId="11">
    <w:name w:val="toc 3"/>
    <w:basedOn w:val="1"/>
    <w:next w:val="1"/>
    <w:qFormat/>
    <w:uiPriority w:val="39"/>
    <w:pPr>
      <w:widowControl w:val="0"/>
      <w:tabs>
        <w:tab w:val="right" w:leader="dot" w:pos="9241"/>
      </w:tabs>
      <w:ind w:firstLine="102" w:firstLineChars="100"/>
    </w:pPr>
    <w:rPr>
      <w:rFonts w:hAnsi="Times New Roman" w:cs="Times New Roman"/>
      <w:kern w:val="2"/>
      <w:sz w:val="21"/>
      <w:szCs w:val="21"/>
    </w:rPr>
  </w:style>
  <w:style w:type="paragraph" w:styleId="12">
    <w:name w:val="toc 8"/>
    <w:basedOn w:val="1"/>
    <w:next w:val="1"/>
    <w:unhideWhenUsed/>
    <w:qFormat/>
    <w:uiPriority w:val="39"/>
    <w:pPr>
      <w:widowControl w:val="0"/>
      <w:ind w:left="2940" w:leftChars="1400"/>
      <w:jc w:val="both"/>
    </w:pPr>
    <w:rPr>
      <w:rFonts w:asciiTheme="minorHAnsi" w:hAnsiTheme="minorHAnsi" w:eastAsiaTheme="minorEastAsia" w:cstheme="minorBidi"/>
      <w:kern w:val="2"/>
      <w:sz w:val="21"/>
    </w:rPr>
  </w:style>
  <w:style w:type="paragraph" w:styleId="13">
    <w:name w:val="Date"/>
    <w:basedOn w:val="1"/>
    <w:next w:val="1"/>
    <w:link w:val="90"/>
    <w:semiHidden/>
    <w:unhideWhenUsed/>
    <w:qFormat/>
    <w:uiPriority w:val="99"/>
    <w:pPr>
      <w:widowControl w:val="0"/>
      <w:ind w:left="100" w:leftChars="2500"/>
      <w:jc w:val="both"/>
    </w:pPr>
    <w:rPr>
      <w:rFonts w:asciiTheme="minorHAnsi" w:hAnsiTheme="minorHAnsi" w:eastAsiaTheme="minorEastAsia" w:cstheme="minorBidi"/>
      <w:kern w:val="2"/>
      <w:sz w:val="21"/>
      <w:szCs w:val="22"/>
    </w:rPr>
  </w:style>
  <w:style w:type="paragraph" w:styleId="14">
    <w:name w:val="Balloon Text"/>
    <w:basedOn w:val="1"/>
    <w:link w:val="50"/>
    <w:semiHidden/>
    <w:unhideWhenUsed/>
    <w:qFormat/>
    <w:uiPriority w:val="99"/>
    <w:pPr>
      <w:widowControl w:val="0"/>
      <w:jc w:val="both"/>
    </w:pPr>
    <w:rPr>
      <w:rFonts w:asciiTheme="minorHAnsi" w:hAnsiTheme="minorHAnsi" w:eastAsiaTheme="minorEastAsia" w:cstheme="minorBidi"/>
      <w:kern w:val="2"/>
      <w:sz w:val="18"/>
      <w:szCs w:val="18"/>
    </w:rPr>
  </w:style>
  <w:style w:type="paragraph" w:styleId="15">
    <w:name w:val="footer"/>
    <w:basedOn w:val="1"/>
    <w:link w:val="33"/>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16">
    <w:name w:val="header"/>
    <w:basedOn w:val="1"/>
    <w:link w:val="32"/>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17">
    <w:name w:val="toc 1"/>
    <w:basedOn w:val="1"/>
    <w:next w:val="1"/>
    <w:qFormat/>
    <w:uiPriority w:val="39"/>
    <w:pPr>
      <w:widowControl w:val="0"/>
      <w:tabs>
        <w:tab w:val="right" w:leader="dot" w:pos="9214"/>
      </w:tabs>
      <w:spacing w:beforeLines="25" w:afterLines="25"/>
      <w:ind w:right="-907" w:rightChars="-432"/>
    </w:pPr>
    <w:rPr>
      <w:rFonts w:hAnsi="Times New Roman" w:cs="Times New Roman"/>
      <w:kern w:val="2"/>
      <w:sz w:val="21"/>
      <w:szCs w:val="21"/>
    </w:rPr>
  </w:style>
  <w:style w:type="paragraph" w:styleId="18">
    <w:name w:val="toc 4"/>
    <w:basedOn w:val="1"/>
    <w:next w:val="1"/>
    <w:unhideWhenUsed/>
    <w:qFormat/>
    <w:uiPriority w:val="39"/>
    <w:pPr>
      <w:widowControl w:val="0"/>
      <w:ind w:left="1260" w:leftChars="600"/>
      <w:jc w:val="both"/>
    </w:pPr>
    <w:rPr>
      <w:rFonts w:asciiTheme="minorHAnsi" w:hAnsiTheme="minorHAnsi" w:eastAsiaTheme="minorEastAsia" w:cstheme="minorBidi"/>
      <w:kern w:val="2"/>
      <w:sz w:val="21"/>
    </w:rPr>
  </w:style>
  <w:style w:type="paragraph" w:styleId="19">
    <w:name w:val="toc 6"/>
    <w:basedOn w:val="1"/>
    <w:next w:val="1"/>
    <w:unhideWhenUsed/>
    <w:qFormat/>
    <w:uiPriority w:val="39"/>
    <w:pPr>
      <w:widowControl w:val="0"/>
      <w:ind w:left="2100" w:leftChars="1000"/>
      <w:jc w:val="both"/>
    </w:pPr>
    <w:rPr>
      <w:rFonts w:asciiTheme="minorHAnsi" w:hAnsiTheme="minorHAnsi" w:eastAsiaTheme="minorEastAsia" w:cstheme="minorBidi"/>
      <w:kern w:val="2"/>
      <w:sz w:val="21"/>
    </w:rPr>
  </w:style>
  <w:style w:type="paragraph" w:styleId="20">
    <w:name w:val="toc 2"/>
    <w:basedOn w:val="1"/>
    <w:next w:val="1"/>
    <w:unhideWhenUsed/>
    <w:qFormat/>
    <w:uiPriority w:val="39"/>
    <w:pPr>
      <w:widowControl w:val="0"/>
      <w:tabs>
        <w:tab w:val="right" w:leader="dot" w:pos="9214"/>
      </w:tabs>
      <w:jc w:val="both"/>
    </w:pPr>
    <w:rPr>
      <w:rFonts w:asciiTheme="minorHAnsi" w:hAnsiTheme="minorHAnsi" w:eastAsiaTheme="minorEastAsia" w:cstheme="minorBidi"/>
      <w:kern w:val="2"/>
      <w:sz w:val="21"/>
      <w:szCs w:val="22"/>
    </w:rPr>
  </w:style>
  <w:style w:type="paragraph" w:styleId="21">
    <w:name w:val="toc 9"/>
    <w:basedOn w:val="1"/>
    <w:next w:val="1"/>
    <w:unhideWhenUsed/>
    <w:qFormat/>
    <w:uiPriority w:val="39"/>
    <w:pPr>
      <w:widowControl w:val="0"/>
      <w:ind w:left="3360" w:leftChars="1600"/>
      <w:jc w:val="both"/>
    </w:pPr>
    <w:rPr>
      <w:rFonts w:asciiTheme="minorHAnsi" w:hAnsiTheme="minorHAnsi" w:eastAsiaTheme="minorEastAsia" w:cstheme="minorBidi"/>
      <w:kern w:val="2"/>
      <w:sz w:val="21"/>
    </w:rPr>
  </w:style>
  <w:style w:type="paragraph" w:styleId="22">
    <w:name w:val="HTML Preformatted"/>
    <w:basedOn w:val="1"/>
    <w:link w:val="93"/>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23">
    <w:name w:val="Normal (Web)"/>
    <w:basedOn w:val="1"/>
    <w:unhideWhenUsed/>
    <w:qFormat/>
    <w:uiPriority w:val="99"/>
    <w:pPr>
      <w:spacing w:before="100" w:beforeAutospacing="1" w:after="100" w:afterAutospacing="1"/>
    </w:pPr>
  </w:style>
  <w:style w:type="paragraph" w:styleId="24">
    <w:name w:val="annotation subject"/>
    <w:basedOn w:val="9"/>
    <w:next w:val="9"/>
    <w:link w:val="89"/>
    <w:semiHidden/>
    <w:unhideWhenUsed/>
    <w:qFormat/>
    <w:uiPriority w:val="99"/>
    <w:rPr>
      <w:rFonts w:asciiTheme="minorHAnsi" w:hAnsiTheme="minorHAnsi" w:eastAsiaTheme="minorEastAsia" w:cstheme="minorBidi"/>
      <w:b/>
      <w:bCs/>
      <w:szCs w:val="22"/>
    </w:rPr>
  </w:style>
  <w:style w:type="table" w:styleId="26">
    <w:name w:val="Table Grid"/>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FollowedHyperlink"/>
    <w:basedOn w:val="27"/>
    <w:semiHidden/>
    <w:unhideWhenUsed/>
    <w:qFormat/>
    <w:uiPriority w:val="99"/>
    <w:rPr>
      <w:color w:val="800080" w:themeColor="followedHyperlink"/>
      <w:u w:val="single"/>
      <w14:textFill>
        <w14:solidFill>
          <w14:schemeClr w14:val="folHlink"/>
        </w14:solidFill>
      </w14:textFill>
    </w:rPr>
  </w:style>
  <w:style w:type="character" w:styleId="29">
    <w:name w:val="Emphasis"/>
    <w:basedOn w:val="27"/>
    <w:qFormat/>
    <w:uiPriority w:val="20"/>
    <w:rPr>
      <w:i/>
      <w:iCs/>
    </w:rPr>
  </w:style>
  <w:style w:type="character" w:styleId="30">
    <w:name w:val="Hyperlink"/>
    <w:basedOn w:val="27"/>
    <w:qFormat/>
    <w:uiPriority w:val="99"/>
    <w:rPr>
      <w:color w:val="0000FF"/>
      <w:spacing w:val="0"/>
      <w:w w:val="100"/>
      <w:szCs w:val="21"/>
      <w:u w:val="single"/>
    </w:rPr>
  </w:style>
  <w:style w:type="character" w:styleId="31">
    <w:name w:val="annotation reference"/>
    <w:basedOn w:val="27"/>
    <w:qFormat/>
    <w:uiPriority w:val="0"/>
    <w:rPr>
      <w:sz w:val="21"/>
      <w:szCs w:val="21"/>
    </w:rPr>
  </w:style>
  <w:style w:type="character" w:customStyle="1" w:styleId="32">
    <w:name w:val="页眉 字符"/>
    <w:basedOn w:val="27"/>
    <w:link w:val="16"/>
    <w:qFormat/>
    <w:uiPriority w:val="99"/>
    <w:rPr>
      <w:sz w:val="18"/>
      <w:szCs w:val="18"/>
    </w:rPr>
  </w:style>
  <w:style w:type="character" w:customStyle="1" w:styleId="33">
    <w:name w:val="页脚 字符"/>
    <w:basedOn w:val="27"/>
    <w:link w:val="15"/>
    <w:qFormat/>
    <w:uiPriority w:val="99"/>
    <w:rPr>
      <w:sz w:val="18"/>
      <w:szCs w:val="18"/>
    </w:rPr>
  </w:style>
  <w:style w:type="paragraph" w:customStyle="1" w:styleId="34">
    <w:name w:val="一级条标题"/>
    <w:next w:val="1"/>
    <w:link w:val="97"/>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35">
    <w:name w:val="章标题"/>
    <w:next w:val="1"/>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36">
    <w:name w:val="二级条标题"/>
    <w:basedOn w:val="34"/>
    <w:next w:val="1"/>
    <w:link w:val="98"/>
    <w:qFormat/>
    <w:uiPriority w:val="0"/>
    <w:pPr>
      <w:numPr>
        <w:ilvl w:val="2"/>
      </w:numPr>
      <w:spacing w:before="50" w:after="50"/>
      <w:outlineLvl w:val="3"/>
    </w:pPr>
  </w:style>
  <w:style w:type="paragraph" w:customStyle="1" w:styleId="37">
    <w:name w:val="三级条标题"/>
    <w:basedOn w:val="36"/>
    <w:next w:val="1"/>
    <w:qFormat/>
    <w:uiPriority w:val="0"/>
    <w:pPr>
      <w:numPr>
        <w:ilvl w:val="3"/>
        <w:numId w:val="0"/>
      </w:numPr>
      <w:outlineLvl w:val="4"/>
    </w:pPr>
  </w:style>
  <w:style w:type="paragraph" w:customStyle="1" w:styleId="38">
    <w:name w:val="四级条标题"/>
    <w:basedOn w:val="37"/>
    <w:next w:val="1"/>
    <w:qFormat/>
    <w:uiPriority w:val="0"/>
    <w:pPr>
      <w:numPr>
        <w:ilvl w:val="5"/>
      </w:numPr>
      <w:outlineLvl w:val="5"/>
    </w:pPr>
  </w:style>
  <w:style w:type="character" w:customStyle="1" w:styleId="39">
    <w:name w:val="文档结构图 字符"/>
    <w:basedOn w:val="27"/>
    <w:link w:val="8"/>
    <w:semiHidden/>
    <w:qFormat/>
    <w:uiPriority w:val="99"/>
    <w:rPr>
      <w:rFonts w:ascii="宋体" w:eastAsia="宋体"/>
      <w:sz w:val="18"/>
      <w:szCs w:val="18"/>
    </w:rPr>
  </w:style>
  <w:style w:type="table" w:customStyle="1" w:styleId="40">
    <w:name w:val="无格式表格 21"/>
    <w:basedOn w:val="25"/>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41">
    <w:name w:val="段"/>
    <w:link w:val="42"/>
    <w:qFormat/>
    <w:uiPriority w:val="99"/>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42">
    <w:name w:val="段 Char"/>
    <w:basedOn w:val="27"/>
    <w:link w:val="41"/>
    <w:qFormat/>
    <w:uiPriority w:val="0"/>
    <w:rPr>
      <w:rFonts w:ascii="宋体" w:hAnsi="Times New Roman" w:eastAsia="宋体" w:cs="Times New Roman"/>
      <w:kern w:val="0"/>
      <w:szCs w:val="20"/>
    </w:rPr>
  </w:style>
  <w:style w:type="paragraph" w:customStyle="1" w:styleId="43">
    <w:name w:val="列项——（一级）"/>
    <w:qFormat/>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44">
    <w:name w:val="列项●（二级）"/>
    <w:qFormat/>
    <w:uiPriority w:val="0"/>
    <w:pPr>
      <w:numPr>
        <w:ilvl w:val="1"/>
        <w:numId w:val="3"/>
      </w:numPr>
      <w:tabs>
        <w:tab w:val="left" w:pos="840"/>
      </w:tabs>
      <w:jc w:val="both"/>
    </w:pPr>
    <w:rPr>
      <w:rFonts w:ascii="宋体" w:hAnsi="Times New Roman" w:eastAsia="宋体" w:cs="Times New Roman"/>
      <w:sz w:val="21"/>
      <w:lang w:val="en-US" w:eastAsia="zh-CN" w:bidi="ar-SA"/>
    </w:rPr>
  </w:style>
  <w:style w:type="paragraph" w:customStyle="1" w:styleId="45">
    <w:name w:val="数字编号列项（二级）"/>
    <w:qFormat/>
    <w:uiPriority w:val="0"/>
    <w:pPr>
      <w:numPr>
        <w:ilvl w:val="1"/>
        <w:numId w:val="4"/>
      </w:numPr>
      <w:jc w:val="both"/>
    </w:pPr>
    <w:rPr>
      <w:rFonts w:ascii="宋体" w:hAnsi="Times New Roman" w:eastAsia="宋体" w:cs="Times New Roman"/>
      <w:sz w:val="21"/>
      <w:lang w:val="en-US" w:eastAsia="zh-CN" w:bidi="ar-SA"/>
    </w:rPr>
  </w:style>
  <w:style w:type="paragraph" w:customStyle="1" w:styleId="46">
    <w:name w:val="字母编号列项（一级）"/>
    <w:qFormat/>
    <w:uiPriority w:val="0"/>
    <w:pPr>
      <w:numPr>
        <w:ilvl w:val="0"/>
        <w:numId w:val="4"/>
      </w:numPr>
      <w:jc w:val="both"/>
    </w:pPr>
    <w:rPr>
      <w:rFonts w:ascii="宋体" w:hAnsi="Times New Roman" w:eastAsia="宋体" w:cs="Times New Roman"/>
      <w:sz w:val="21"/>
      <w:lang w:val="en-US" w:eastAsia="zh-CN" w:bidi="ar-SA"/>
    </w:rPr>
  </w:style>
  <w:style w:type="paragraph" w:customStyle="1" w:styleId="47">
    <w:name w:val="编号列项（三级）"/>
    <w:qFormat/>
    <w:uiPriority w:val="0"/>
    <w:pPr>
      <w:numPr>
        <w:ilvl w:val="2"/>
        <w:numId w:val="4"/>
      </w:numPr>
    </w:pPr>
    <w:rPr>
      <w:rFonts w:ascii="宋体" w:hAnsi="Times New Roman" w:eastAsia="宋体" w:cs="Times New Roman"/>
      <w:sz w:val="21"/>
      <w:lang w:val="en-US" w:eastAsia="zh-CN" w:bidi="ar-SA"/>
    </w:rPr>
  </w:style>
  <w:style w:type="paragraph" w:customStyle="1" w:styleId="48">
    <w:name w:val="前言、引言标题"/>
    <w:next w:val="4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character" w:customStyle="1" w:styleId="49">
    <w:name w:val="批注文字 字符"/>
    <w:basedOn w:val="27"/>
    <w:link w:val="9"/>
    <w:qFormat/>
    <w:uiPriority w:val="0"/>
    <w:rPr>
      <w:rFonts w:ascii="Times New Roman" w:hAnsi="Times New Roman" w:eastAsia="宋体" w:cs="Times New Roman"/>
      <w:szCs w:val="24"/>
    </w:rPr>
  </w:style>
  <w:style w:type="character" w:customStyle="1" w:styleId="50">
    <w:name w:val="批注框文本 字符"/>
    <w:basedOn w:val="27"/>
    <w:link w:val="14"/>
    <w:semiHidden/>
    <w:qFormat/>
    <w:uiPriority w:val="99"/>
    <w:rPr>
      <w:sz w:val="18"/>
      <w:szCs w:val="18"/>
    </w:rPr>
  </w:style>
  <w:style w:type="paragraph" w:customStyle="1" w:styleId="51">
    <w:name w:val="目次、标准名称标题"/>
    <w:basedOn w:val="1"/>
    <w:next w:val="41"/>
    <w:qFormat/>
    <w:uiPriority w:val="99"/>
    <w:pPr>
      <w:keepNext/>
      <w:pageBreakBefore/>
      <w:shd w:val="clear" w:color="FFFFFF" w:fill="FFFFFF"/>
      <w:spacing w:before="640" w:after="560" w:line="460" w:lineRule="exact"/>
      <w:jc w:val="center"/>
      <w:outlineLvl w:val="0"/>
    </w:pPr>
    <w:rPr>
      <w:rFonts w:ascii="黑体" w:hAnsi="Times New Roman" w:eastAsia="黑体" w:cs="Times New Roman"/>
      <w:sz w:val="32"/>
      <w:szCs w:val="20"/>
    </w:rPr>
  </w:style>
  <w:style w:type="paragraph" w:customStyle="1" w:styleId="52">
    <w:name w:val="一级无"/>
    <w:basedOn w:val="34"/>
    <w:qFormat/>
    <w:uiPriority w:val="0"/>
    <w:pPr>
      <w:numPr>
        <w:ilvl w:val="0"/>
        <w:numId w:val="0"/>
      </w:numPr>
      <w:spacing w:beforeLines="0" w:afterLines="0"/>
    </w:pPr>
    <w:rPr>
      <w:rFonts w:ascii="宋体" w:eastAsia="宋体"/>
    </w:rPr>
  </w:style>
  <w:style w:type="paragraph" w:customStyle="1" w:styleId="53">
    <w:name w:val="图表脚注说明"/>
    <w:basedOn w:val="1"/>
    <w:qFormat/>
    <w:uiPriority w:val="0"/>
    <w:pPr>
      <w:widowControl w:val="0"/>
      <w:numPr>
        <w:ilvl w:val="0"/>
        <w:numId w:val="5"/>
      </w:numPr>
      <w:jc w:val="both"/>
    </w:pPr>
    <w:rPr>
      <w:rFonts w:hAnsi="Times New Roman" w:cs="Times New Roman"/>
      <w:kern w:val="2"/>
      <w:sz w:val="18"/>
      <w:szCs w:val="18"/>
    </w:rPr>
  </w:style>
  <w:style w:type="paragraph" w:customStyle="1" w:styleId="54">
    <w:name w:val="正文表标题"/>
    <w:next w:val="41"/>
    <w:qFormat/>
    <w:uiPriority w:val="0"/>
    <w:pPr>
      <w:numPr>
        <w:ilvl w:val="0"/>
        <w:numId w:val="6"/>
      </w:numPr>
      <w:spacing w:beforeLines="50" w:afterLines="50"/>
      <w:ind w:left="3686"/>
      <w:jc w:val="center"/>
    </w:pPr>
    <w:rPr>
      <w:rFonts w:ascii="黑体" w:hAnsi="Times New Roman" w:eastAsia="黑体" w:cs="Times New Roman"/>
      <w:sz w:val="21"/>
      <w:lang w:val="en-US" w:eastAsia="zh-CN" w:bidi="ar-SA"/>
    </w:rPr>
  </w:style>
  <w:style w:type="paragraph" w:customStyle="1" w:styleId="55">
    <w:name w:val="无顺序列项编号"/>
    <w:basedOn w:val="1"/>
    <w:qFormat/>
    <w:uiPriority w:val="0"/>
    <w:pPr>
      <w:widowControl w:val="0"/>
      <w:numPr>
        <w:ilvl w:val="0"/>
        <w:numId w:val="7"/>
      </w:numPr>
      <w:spacing w:line="360" w:lineRule="auto"/>
      <w:jc w:val="both"/>
    </w:pPr>
    <w:rPr>
      <w:rFonts w:ascii="Calibri" w:hAnsi="Calibri" w:eastAsiaTheme="minorEastAsia" w:cstheme="minorBidi"/>
    </w:rPr>
  </w:style>
  <w:style w:type="paragraph" w:customStyle="1" w:styleId="56">
    <w:name w:val="mxt-正文格式"/>
    <w:basedOn w:val="1"/>
    <w:link w:val="57"/>
    <w:qFormat/>
    <w:uiPriority w:val="0"/>
    <w:pPr>
      <w:widowControl w:val="0"/>
      <w:spacing w:line="360" w:lineRule="auto"/>
      <w:ind w:firstLine="480" w:firstLineChars="200"/>
      <w:jc w:val="both"/>
    </w:pPr>
    <w:rPr>
      <w:rFonts w:ascii="Times New Roman" w:hAnsi="Times New Roman" w:eastAsiaTheme="minorEastAsia"/>
      <w:szCs w:val="20"/>
    </w:rPr>
  </w:style>
  <w:style w:type="character" w:customStyle="1" w:styleId="57">
    <w:name w:val="mxt-正文格式 Char"/>
    <w:basedOn w:val="27"/>
    <w:link w:val="56"/>
    <w:qFormat/>
    <w:uiPriority w:val="0"/>
    <w:rPr>
      <w:rFonts w:ascii="Times New Roman" w:hAnsi="Times New Roman" w:cs="宋体"/>
      <w:kern w:val="0"/>
      <w:sz w:val="24"/>
      <w:szCs w:val="20"/>
    </w:rPr>
  </w:style>
  <w:style w:type="paragraph" w:customStyle="1" w:styleId="58">
    <w:name w:val="正文公式编号制表符"/>
    <w:basedOn w:val="41"/>
    <w:next w:val="41"/>
    <w:qFormat/>
    <w:uiPriority w:val="0"/>
    <w:pPr>
      <w:ind w:firstLine="0" w:firstLineChars="0"/>
    </w:pPr>
  </w:style>
  <w:style w:type="paragraph" w:styleId="59">
    <w:name w:val="List Paragraph"/>
    <w:basedOn w:val="1"/>
    <w:qFormat/>
    <w:uiPriority w:val="34"/>
    <w:pPr>
      <w:widowControl w:val="0"/>
      <w:ind w:firstLine="420" w:firstLineChars="200"/>
      <w:jc w:val="both"/>
    </w:pPr>
    <w:rPr>
      <w:rFonts w:asciiTheme="minorHAnsi" w:hAnsiTheme="minorHAnsi" w:eastAsiaTheme="minorEastAsia" w:cstheme="minorBidi"/>
      <w:kern w:val="2"/>
      <w:sz w:val="21"/>
      <w:szCs w:val="22"/>
    </w:rPr>
  </w:style>
  <w:style w:type="paragraph" w:customStyle="1" w:styleId="60">
    <w:name w:val="注："/>
    <w:next w:val="41"/>
    <w:qFormat/>
    <w:uiPriority w:val="0"/>
    <w:pPr>
      <w:widowControl w:val="0"/>
      <w:autoSpaceDE w:val="0"/>
      <w:autoSpaceDN w:val="0"/>
      <w:ind w:left="833" w:hanging="408"/>
      <w:jc w:val="both"/>
    </w:pPr>
    <w:rPr>
      <w:rFonts w:ascii="宋体" w:hAnsi="Times New Roman" w:eastAsia="宋体" w:cs="Times New Roman"/>
      <w:sz w:val="18"/>
      <w:szCs w:val="18"/>
      <w:lang w:val="en-US" w:eastAsia="zh-CN" w:bidi="ar-SA"/>
    </w:rPr>
  </w:style>
  <w:style w:type="paragraph" w:customStyle="1" w:styleId="61">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character" w:customStyle="1" w:styleId="62">
    <w:name w:val="发布"/>
    <w:basedOn w:val="27"/>
    <w:qFormat/>
    <w:uiPriority w:val="0"/>
    <w:rPr>
      <w:rFonts w:ascii="黑体" w:eastAsia="黑体"/>
      <w:spacing w:val="85"/>
      <w:w w:val="100"/>
      <w:position w:val="3"/>
      <w:sz w:val="28"/>
      <w:szCs w:val="28"/>
    </w:rPr>
  </w:style>
  <w:style w:type="paragraph" w:customStyle="1" w:styleId="63">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64">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65">
    <w:name w:val="封面标准英文名称"/>
    <w:basedOn w:val="64"/>
    <w:qFormat/>
    <w:uiPriority w:val="0"/>
    <w:pPr>
      <w:framePr w:wrap="around"/>
      <w:spacing w:before="370" w:line="400" w:lineRule="exact"/>
    </w:pPr>
    <w:rPr>
      <w:rFonts w:ascii="Times New Roman"/>
      <w:sz w:val="28"/>
      <w:szCs w:val="28"/>
    </w:rPr>
  </w:style>
  <w:style w:type="paragraph" w:customStyle="1" w:styleId="66">
    <w:name w:val="封面一致性程度标识"/>
    <w:basedOn w:val="65"/>
    <w:qFormat/>
    <w:uiPriority w:val="0"/>
    <w:pPr>
      <w:framePr w:wrap="around"/>
      <w:spacing w:before="440"/>
    </w:pPr>
    <w:rPr>
      <w:rFonts w:ascii="宋体" w:eastAsia="宋体"/>
    </w:rPr>
  </w:style>
  <w:style w:type="paragraph" w:customStyle="1" w:styleId="67">
    <w:name w:val="封面标准文稿类别"/>
    <w:basedOn w:val="66"/>
    <w:qFormat/>
    <w:uiPriority w:val="0"/>
    <w:pPr>
      <w:framePr w:wrap="around"/>
      <w:spacing w:after="160" w:line="240" w:lineRule="auto"/>
    </w:pPr>
    <w:rPr>
      <w:sz w:val="24"/>
    </w:rPr>
  </w:style>
  <w:style w:type="paragraph" w:customStyle="1" w:styleId="68">
    <w:name w:val="封面标准文稿编辑信息"/>
    <w:basedOn w:val="67"/>
    <w:qFormat/>
    <w:uiPriority w:val="0"/>
    <w:pPr>
      <w:framePr w:wrap="around"/>
      <w:spacing w:before="180" w:line="180" w:lineRule="exact"/>
    </w:pPr>
    <w:rPr>
      <w:sz w:val="21"/>
    </w:rPr>
  </w:style>
  <w:style w:type="paragraph" w:customStyle="1" w:styleId="69">
    <w:name w:val="其他标准标志"/>
    <w:basedOn w:val="1"/>
    <w:qFormat/>
    <w:uiPriority w:val="0"/>
    <w:pPr>
      <w:framePr w:w="6101" w:h="1389" w:hRule="exact" w:hSpace="181" w:vSpace="181" w:wrap="around" w:vAnchor="page" w:hAnchor="page" w:x="4673" w:y="942" w:anchorLock="1"/>
      <w:shd w:val="solid" w:color="FFFFFF" w:fill="FFFFFF"/>
      <w:spacing w:line="0" w:lineRule="atLeast"/>
      <w:jc w:val="right"/>
    </w:pPr>
    <w:rPr>
      <w:rFonts w:ascii="Times New Roman" w:hAnsi="Times New Roman" w:cs="Times New Roman"/>
      <w:b/>
      <w:w w:val="130"/>
      <w:sz w:val="96"/>
      <w:szCs w:val="96"/>
    </w:rPr>
  </w:style>
  <w:style w:type="paragraph" w:customStyle="1" w:styleId="70">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71">
    <w:name w:val="其他发布部门"/>
    <w:basedOn w:val="1"/>
    <w:qFormat/>
    <w:uiPriority w:val="0"/>
    <w:pPr>
      <w:framePr w:w="7938" w:h="1134" w:hRule="exact" w:hSpace="125" w:vSpace="181" w:wrap="around" w:vAnchor="page" w:hAnchor="page" w:x="2150" w:y="15310" w:anchorLock="1"/>
      <w:spacing w:line="0" w:lineRule="atLeast"/>
      <w:jc w:val="center"/>
    </w:pPr>
    <w:rPr>
      <w:rFonts w:ascii="黑体" w:hAnsi="Times New Roman" w:eastAsia="黑体" w:cs="Times New Roman"/>
      <w:spacing w:val="20"/>
      <w:w w:val="135"/>
      <w:sz w:val="28"/>
      <w:szCs w:val="20"/>
    </w:rPr>
  </w:style>
  <w:style w:type="paragraph" w:customStyle="1" w:styleId="72">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73">
    <w:name w:val="其他发布日期"/>
    <w:basedOn w:val="1"/>
    <w:qFormat/>
    <w:uiPriority w:val="0"/>
    <w:pPr>
      <w:framePr w:w="3997" w:h="471" w:hRule="exact" w:vSpace="181" w:wrap="around" w:vAnchor="page" w:hAnchor="page" w:x="1419" w:y="14097" w:anchorLock="1"/>
    </w:pPr>
    <w:rPr>
      <w:rFonts w:ascii="Times New Roman" w:hAnsi="Times New Roman" w:eastAsia="黑体" w:cs="Times New Roman"/>
      <w:sz w:val="28"/>
      <w:szCs w:val="20"/>
    </w:rPr>
  </w:style>
  <w:style w:type="paragraph" w:customStyle="1" w:styleId="74">
    <w:name w:val="其他实施日期"/>
    <w:basedOn w:val="1"/>
    <w:qFormat/>
    <w:uiPriority w:val="0"/>
    <w:pPr>
      <w:framePr w:w="3997" w:h="471" w:hRule="exact" w:vSpace="181" w:wrap="around" w:vAnchor="page" w:hAnchor="page" w:x="7089" w:y="14097" w:anchorLock="1"/>
      <w:jc w:val="right"/>
    </w:pPr>
    <w:rPr>
      <w:rFonts w:ascii="Times New Roman" w:hAnsi="Times New Roman" w:eastAsia="黑体" w:cs="Times New Roman"/>
      <w:sz w:val="28"/>
      <w:szCs w:val="20"/>
    </w:rPr>
  </w:style>
  <w:style w:type="paragraph" w:customStyle="1" w:styleId="75">
    <w:name w:val="封面正文"/>
    <w:qFormat/>
    <w:uiPriority w:val="0"/>
    <w:pPr>
      <w:numPr>
        <w:ilvl w:val="0"/>
        <w:numId w:val="8"/>
      </w:numPr>
      <w:jc w:val="both"/>
    </w:pPr>
    <w:rPr>
      <w:rFonts w:ascii="Times New Roman" w:hAnsi="Times New Roman" w:eastAsia="宋体" w:cs="Times New Roman"/>
      <w:lang w:val="en-US" w:eastAsia="zh-CN" w:bidi="ar-SA"/>
    </w:rPr>
  </w:style>
  <w:style w:type="paragraph" w:customStyle="1" w:styleId="76">
    <w:name w:val="附录表标题"/>
    <w:basedOn w:val="1"/>
    <w:next w:val="41"/>
    <w:qFormat/>
    <w:uiPriority w:val="0"/>
    <w:pPr>
      <w:widowControl w:val="0"/>
      <w:numPr>
        <w:ilvl w:val="3"/>
        <w:numId w:val="8"/>
      </w:numPr>
      <w:tabs>
        <w:tab w:val="left" w:pos="180"/>
      </w:tabs>
      <w:spacing w:beforeLines="50" w:afterLines="50"/>
      <w:jc w:val="center"/>
    </w:pPr>
    <w:rPr>
      <w:rFonts w:ascii="黑体" w:hAnsi="Times New Roman" w:eastAsia="黑体" w:cs="Times New Roman"/>
      <w:kern w:val="2"/>
      <w:sz w:val="21"/>
      <w:szCs w:val="21"/>
    </w:rPr>
  </w:style>
  <w:style w:type="paragraph" w:customStyle="1" w:styleId="77">
    <w:name w:val="附录二级无"/>
    <w:basedOn w:val="1"/>
    <w:qFormat/>
    <w:uiPriority w:val="0"/>
    <w:pPr>
      <w:numPr>
        <w:ilvl w:val="3"/>
        <w:numId w:val="9"/>
      </w:numPr>
      <w:wordWrap w:val="0"/>
      <w:overflowPunct w:val="0"/>
      <w:autoSpaceDE w:val="0"/>
      <w:autoSpaceDN w:val="0"/>
      <w:jc w:val="both"/>
      <w:textAlignment w:val="baseline"/>
      <w:outlineLvl w:val="3"/>
    </w:pPr>
    <w:rPr>
      <w:rFonts w:hAnsi="Times New Roman" w:cs="Times New Roman"/>
      <w:kern w:val="21"/>
      <w:sz w:val="21"/>
      <w:szCs w:val="21"/>
    </w:rPr>
  </w:style>
  <w:style w:type="paragraph" w:customStyle="1" w:styleId="78">
    <w:name w:val="附录公式编号制表符"/>
    <w:basedOn w:val="1"/>
    <w:next w:val="41"/>
    <w:qFormat/>
    <w:uiPriority w:val="0"/>
    <w:pPr>
      <w:numPr>
        <w:ilvl w:val="4"/>
        <w:numId w:val="8"/>
      </w:numPr>
      <w:tabs>
        <w:tab w:val="center" w:pos="4201"/>
        <w:tab w:val="right" w:leader="dot" w:pos="9298"/>
      </w:tabs>
      <w:autoSpaceDE w:val="0"/>
      <w:autoSpaceDN w:val="0"/>
      <w:jc w:val="both"/>
    </w:pPr>
    <w:rPr>
      <w:rFonts w:hAnsi="Times New Roman" w:cs="Times New Roman"/>
      <w:sz w:val="21"/>
      <w:szCs w:val="20"/>
    </w:rPr>
  </w:style>
  <w:style w:type="paragraph" w:customStyle="1" w:styleId="79">
    <w:name w:val="附录三级无"/>
    <w:basedOn w:val="1"/>
    <w:qFormat/>
    <w:uiPriority w:val="0"/>
    <w:pPr>
      <w:numPr>
        <w:ilvl w:val="1"/>
        <w:numId w:val="10"/>
      </w:numPr>
      <w:tabs>
        <w:tab w:val="clear" w:pos="840"/>
      </w:tabs>
      <w:wordWrap w:val="0"/>
      <w:overflowPunct w:val="0"/>
      <w:autoSpaceDE w:val="0"/>
      <w:autoSpaceDN w:val="0"/>
      <w:ind w:left="0" w:firstLine="0"/>
      <w:jc w:val="both"/>
      <w:textAlignment w:val="baseline"/>
      <w:outlineLvl w:val="4"/>
    </w:pPr>
    <w:rPr>
      <w:rFonts w:hAnsi="Times New Roman" w:cs="Times New Roman"/>
      <w:kern w:val="21"/>
      <w:sz w:val="21"/>
      <w:szCs w:val="21"/>
    </w:rPr>
  </w:style>
  <w:style w:type="paragraph" w:customStyle="1" w:styleId="80">
    <w:name w:val="附录数字编号列项（二级）"/>
    <w:qFormat/>
    <w:uiPriority w:val="0"/>
    <w:pPr>
      <w:numPr>
        <w:ilvl w:val="5"/>
        <w:numId w:val="8"/>
      </w:numPr>
      <w:tabs>
        <w:tab w:val="left" w:pos="840"/>
      </w:tabs>
      <w:ind w:left="839" w:hanging="419"/>
    </w:pPr>
    <w:rPr>
      <w:rFonts w:ascii="宋体" w:hAnsi="Times New Roman" w:eastAsia="宋体" w:cs="Times New Roman"/>
      <w:sz w:val="21"/>
      <w:lang w:val="en-US" w:eastAsia="zh-CN" w:bidi="ar-SA"/>
    </w:rPr>
  </w:style>
  <w:style w:type="paragraph" w:customStyle="1" w:styleId="81">
    <w:name w:val="附录图标题"/>
    <w:basedOn w:val="1"/>
    <w:next w:val="41"/>
    <w:qFormat/>
    <w:uiPriority w:val="0"/>
    <w:pPr>
      <w:widowControl w:val="0"/>
      <w:numPr>
        <w:ilvl w:val="6"/>
        <w:numId w:val="8"/>
      </w:numPr>
      <w:tabs>
        <w:tab w:val="left" w:pos="363"/>
      </w:tabs>
      <w:spacing w:beforeLines="50" w:afterLines="50"/>
      <w:jc w:val="center"/>
    </w:pPr>
    <w:rPr>
      <w:rFonts w:ascii="黑体" w:hAnsi="Times New Roman" w:eastAsia="黑体" w:cs="Times New Roman"/>
      <w:kern w:val="2"/>
      <w:sz w:val="21"/>
      <w:szCs w:val="21"/>
    </w:rPr>
  </w:style>
  <w:style w:type="paragraph" w:customStyle="1" w:styleId="82">
    <w:name w:val="附录章标题"/>
    <w:next w:val="41"/>
    <w:qFormat/>
    <w:uiPriority w:val="0"/>
    <w:pPr>
      <w:numPr>
        <w:ilvl w:val="2"/>
        <w:numId w:val="8"/>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3">
    <w:name w:val="附录一级无"/>
    <w:basedOn w:val="1"/>
    <w:qFormat/>
    <w:uiPriority w:val="0"/>
    <w:pPr>
      <w:numPr>
        <w:ilvl w:val="0"/>
        <w:numId w:val="10"/>
      </w:numPr>
      <w:tabs>
        <w:tab w:val="clear" w:pos="839"/>
      </w:tabs>
      <w:wordWrap w:val="0"/>
      <w:overflowPunct w:val="0"/>
      <w:autoSpaceDE w:val="0"/>
      <w:autoSpaceDN w:val="0"/>
      <w:ind w:left="0" w:firstLine="0"/>
      <w:jc w:val="both"/>
      <w:textAlignment w:val="baseline"/>
      <w:outlineLvl w:val="2"/>
    </w:pPr>
    <w:rPr>
      <w:rFonts w:hAnsi="Times New Roman" w:cs="Times New Roman"/>
      <w:kern w:val="21"/>
      <w:sz w:val="21"/>
      <w:szCs w:val="21"/>
    </w:rPr>
  </w:style>
  <w:style w:type="paragraph" w:customStyle="1" w:styleId="84">
    <w:name w:val="二级无"/>
    <w:basedOn w:val="36"/>
    <w:qFormat/>
    <w:uiPriority w:val="0"/>
    <w:pPr>
      <w:numPr>
        <w:numId w:val="11"/>
      </w:numPr>
      <w:tabs>
        <w:tab w:val="left" w:pos="720"/>
        <w:tab w:val="left" w:pos="2160"/>
      </w:tabs>
      <w:spacing w:beforeLines="0" w:afterLines="0"/>
    </w:pPr>
    <w:rPr>
      <w:rFonts w:ascii="宋体" w:eastAsia="宋体"/>
    </w:rPr>
  </w:style>
  <w:style w:type="paragraph" w:customStyle="1" w:styleId="85">
    <w:name w:val="Default"/>
    <w:qFormat/>
    <w:uiPriority w:val="0"/>
    <w:pPr>
      <w:widowControl w:val="0"/>
      <w:autoSpaceDE w:val="0"/>
      <w:autoSpaceDN w:val="0"/>
      <w:adjustRightInd w:val="0"/>
    </w:pPr>
    <w:rPr>
      <w:rFonts w:ascii="OPPOSans" w:eastAsia="OPPOSans" w:cs="OPPOSans" w:hAnsiTheme="minorHAnsi"/>
      <w:color w:val="000000"/>
      <w:sz w:val="24"/>
      <w:szCs w:val="24"/>
      <w:lang w:val="en-US" w:eastAsia="zh-CN" w:bidi="ar-SA"/>
    </w:rPr>
  </w:style>
  <w:style w:type="character" w:customStyle="1" w:styleId="86">
    <w:name w:val="标题 1 字符"/>
    <w:basedOn w:val="27"/>
    <w:link w:val="3"/>
    <w:qFormat/>
    <w:uiPriority w:val="0"/>
    <w:rPr>
      <w:rFonts w:ascii="黑体" w:hAnsi="黑体" w:eastAsia="黑体" w:cs="Times New Roman"/>
      <w:kern w:val="44"/>
      <w:szCs w:val="21"/>
    </w:rPr>
  </w:style>
  <w:style w:type="character" w:customStyle="1" w:styleId="87">
    <w:name w:val="标题 2 字符"/>
    <w:basedOn w:val="27"/>
    <w:link w:val="4"/>
    <w:qFormat/>
    <w:uiPriority w:val="0"/>
    <w:rPr>
      <w:rFonts w:ascii="Times New Roman" w:hAnsi="Times New Roman" w:eastAsia="黑体" w:cs="Times New Roman"/>
      <w:szCs w:val="21"/>
    </w:rPr>
  </w:style>
  <w:style w:type="character" w:customStyle="1" w:styleId="88">
    <w:name w:val="标题 3 字符"/>
    <w:basedOn w:val="27"/>
    <w:link w:val="5"/>
    <w:qFormat/>
    <w:uiPriority w:val="0"/>
    <w:rPr>
      <w:rFonts w:ascii="Times New Roman" w:hAnsi="Times New Roman" w:eastAsia="黑体" w:cs="Times New Roman"/>
      <w:szCs w:val="21"/>
    </w:rPr>
  </w:style>
  <w:style w:type="character" w:customStyle="1" w:styleId="89">
    <w:name w:val="批注主题 字符"/>
    <w:basedOn w:val="49"/>
    <w:link w:val="24"/>
    <w:semiHidden/>
    <w:qFormat/>
    <w:uiPriority w:val="99"/>
    <w:rPr>
      <w:rFonts w:ascii="Times New Roman" w:hAnsi="Times New Roman" w:eastAsia="宋体" w:cs="Times New Roman"/>
      <w:b/>
      <w:bCs/>
      <w:szCs w:val="24"/>
    </w:rPr>
  </w:style>
  <w:style w:type="character" w:customStyle="1" w:styleId="90">
    <w:name w:val="日期 字符"/>
    <w:basedOn w:val="27"/>
    <w:link w:val="13"/>
    <w:semiHidden/>
    <w:qFormat/>
    <w:uiPriority w:val="99"/>
  </w:style>
  <w:style w:type="paragraph" w:customStyle="1" w:styleId="91">
    <w:name w:val="_标准条文"/>
    <w:basedOn w:val="1"/>
    <w:link w:val="92"/>
    <w:qFormat/>
    <w:uiPriority w:val="0"/>
    <w:pPr>
      <w:widowControl w:val="0"/>
      <w:overflowPunct w:val="0"/>
      <w:snapToGrid w:val="0"/>
      <w:spacing w:line="276" w:lineRule="auto"/>
      <w:ind w:firstLine="420" w:firstLineChars="200"/>
      <w:jc w:val="both"/>
    </w:pPr>
    <w:rPr>
      <w:rFonts w:ascii="Arial" w:hAnsi="Arial"/>
      <w:kern w:val="2"/>
      <w:sz w:val="21"/>
      <w:szCs w:val="20"/>
    </w:rPr>
  </w:style>
  <w:style w:type="character" w:customStyle="1" w:styleId="92">
    <w:name w:val="_标准条文 Char"/>
    <w:basedOn w:val="27"/>
    <w:link w:val="91"/>
    <w:qFormat/>
    <w:uiPriority w:val="0"/>
    <w:rPr>
      <w:rFonts w:ascii="Arial" w:hAnsi="Arial" w:eastAsia="宋体" w:cs="宋体"/>
      <w:szCs w:val="20"/>
    </w:rPr>
  </w:style>
  <w:style w:type="character" w:customStyle="1" w:styleId="93">
    <w:name w:val="HTML 预设格式 字符"/>
    <w:basedOn w:val="27"/>
    <w:link w:val="22"/>
    <w:semiHidden/>
    <w:qFormat/>
    <w:uiPriority w:val="99"/>
    <w:rPr>
      <w:rFonts w:ascii="宋体" w:hAnsi="宋体" w:eastAsia="宋体" w:cs="宋体"/>
      <w:kern w:val="0"/>
      <w:sz w:val="24"/>
      <w:szCs w:val="24"/>
    </w:rPr>
  </w:style>
  <w:style w:type="paragraph" w:customStyle="1" w:styleId="94">
    <w:name w:val="修订1"/>
    <w:hidden/>
    <w:semiHidden/>
    <w:qFormat/>
    <w:uiPriority w:val="99"/>
    <w:rPr>
      <w:rFonts w:ascii="宋体" w:hAnsi="宋体" w:eastAsia="宋体" w:cs="宋体"/>
      <w:sz w:val="24"/>
      <w:szCs w:val="24"/>
      <w:lang w:val="en-US" w:eastAsia="zh-CN" w:bidi="ar-SA"/>
    </w:rPr>
  </w:style>
  <w:style w:type="paragraph" w:customStyle="1" w:styleId="95">
    <w:name w:val="修订2"/>
    <w:hidden/>
    <w:semiHidden/>
    <w:qFormat/>
    <w:uiPriority w:val="99"/>
    <w:rPr>
      <w:rFonts w:ascii="宋体" w:hAnsi="宋体" w:eastAsia="宋体" w:cs="宋体"/>
      <w:sz w:val="24"/>
      <w:szCs w:val="24"/>
      <w:lang w:val="en-US" w:eastAsia="zh-CN" w:bidi="ar-SA"/>
    </w:rPr>
  </w:style>
  <w:style w:type="paragraph" w:customStyle="1" w:styleId="96">
    <w:name w:val="修订3"/>
    <w:hidden/>
    <w:semiHidden/>
    <w:qFormat/>
    <w:uiPriority w:val="99"/>
    <w:rPr>
      <w:rFonts w:ascii="宋体" w:hAnsi="宋体" w:eastAsia="宋体" w:cs="宋体"/>
      <w:sz w:val="24"/>
      <w:szCs w:val="24"/>
      <w:lang w:val="en-US" w:eastAsia="zh-CN" w:bidi="ar-SA"/>
    </w:rPr>
  </w:style>
  <w:style w:type="character" w:customStyle="1" w:styleId="97">
    <w:name w:val="一级条标题 Char"/>
    <w:link w:val="34"/>
    <w:qFormat/>
    <w:uiPriority w:val="0"/>
    <w:rPr>
      <w:rFonts w:ascii="黑体" w:eastAsia="黑体"/>
      <w:sz w:val="21"/>
      <w:szCs w:val="21"/>
    </w:rPr>
  </w:style>
  <w:style w:type="character" w:customStyle="1" w:styleId="98">
    <w:name w:val="二级条标题 Char"/>
    <w:link w:val="36"/>
    <w:qFormat/>
    <w:uiPriority w:val="0"/>
    <w:rPr>
      <w:rFonts w:ascii="黑体" w:eastAsia="黑体"/>
      <w:sz w:val="21"/>
      <w:szCs w:val="21"/>
    </w:rPr>
  </w:style>
  <w:style w:type="paragraph" w:customStyle="1" w:styleId="99">
    <w:name w:val="修订4"/>
    <w:hidden/>
    <w:semiHidden/>
    <w:qFormat/>
    <w:uiPriority w:val="99"/>
    <w:rPr>
      <w:rFonts w:ascii="宋体" w:hAnsi="宋体" w:eastAsia="宋体" w:cs="宋体"/>
      <w:sz w:val="24"/>
      <w:szCs w:val="24"/>
      <w:lang w:val="en-US" w:eastAsia="zh-CN" w:bidi="ar-SA"/>
    </w:rPr>
  </w:style>
  <w:style w:type="paragraph" w:customStyle="1" w:styleId="100">
    <w:name w:val="示例"/>
    <w:next w:val="1"/>
    <w:qFormat/>
    <w:uiPriority w:val="0"/>
    <w:pPr>
      <w:widowControl w:val="0"/>
      <w:jc w:val="both"/>
    </w:pPr>
    <w:rPr>
      <w:rFonts w:ascii="宋体" w:hAnsi="Times New Roman" w:eastAsia="宋体" w:cs="Times New Roman"/>
      <w:sz w:val="18"/>
      <w:szCs w:val="18"/>
      <w:lang w:val="en-US" w:eastAsia="zh-CN" w:bidi="ar-SA"/>
    </w:rPr>
  </w:style>
  <w:style w:type="paragraph" w:customStyle="1" w:styleId="101">
    <w:name w:val="示例×："/>
    <w:basedOn w:val="35"/>
    <w:qFormat/>
    <w:uiPriority w:val="0"/>
    <w:pPr>
      <w:numPr>
        <w:numId w:val="0"/>
      </w:numPr>
      <w:spacing w:beforeLines="0" w:afterLines="0"/>
      <w:outlineLvl w:val="9"/>
    </w:pPr>
    <w:rPr>
      <w:rFonts w:ascii="宋体" w:eastAsia="宋体"/>
      <w:sz w:val="18"/>
      <w:szCs w:val="18"/>
    </w:rPr>
  </w:style>
  <w:style w:type="paragraph" w:customStyle="1" w:styleId="102">
    <w:name w:val="注：（正文）"/>
    <w:basedOn w:val="60"/>
    <w:next w:val="41"/>
    <w:qFormat/>
    <w:uiPriority w:val="0"/>
    <w:pPr>
      <w:tabs>
        <w:tab w:val="left" w:pos="839"/>
      </w:tabs>
      <w:ind w:left="839" w:hanging="419"/>
    </w:pPr>
  </w:style>
  <w:style w:type="paragraph" w:customStyle="1" w:styleId="103">
    <w:name w:val="附录标识"/>
    <w:basedOn w:val="1"/>
    <w:next w:val="41"/>
    <w:qFormat/>
    <w:uiPriority w:val="0"/>
    <w:pPr>
      <w:keepNext/>
      <w:shd w:val="clear" w:color="FFFFFF" w:fill="FFFFFF"/>
      <w:tabs>
        <w:tab w:val="left" w:pos="360"/>
        <w:tab w:val="left" w:pos="6405"/>
      </w:tabs>
      <w:spacing w:before="640" w:after="280"/>
      <w:ind w:left="833" w:hanging="408"/>
      <w:jc w:val="center"/>
      <w:outlineLvl w:val="0"/>
    </w:pPr>
    <w:rPr>
      <w:rFonts w:ascii="黑体" w:hAnsi="Times New Roman" w:eastAsia="黑体" w:cs="Times New Roman"/>
      <w:sz w:val="21"/>
      <w:szCs w:val="20"/>
    </w:rPr>
  </w:style>
  <w:style w:type="paragraph" w:customStyle="1" w:styleId="104">
    <w:name w:val="附录一级条标题"/>
    <w:basedOn w:val="82"/>
    <w:next w:val="41"/>
    <w:qFormat/>
    <w:uiPriority w:val="0"/>
    <w:pPr>
      <w:numPr>
        <w:ilvl w:val="0"/>
        <w:numId w:val="0"/>
      </w:numPr>
      <w:tabs>
        <w:tab w:val="left" w:pos="360"/>
      </w:tabs>
      <w:autoSpaceDN w:val="0"/>
      <w:spacing w:beforeLines="50" w:afterLines="50"/>
      <w:outlineLvl w:val="2"/>
    </w:pPr>
  </w:style>
  <w:style w:type="paragraph" w:customStyle="1" w:styleId="105">
    <w:name w:val="四级无"/>
    <w:basedOn w:val="38"/>
    <w:qFormat/>
    <w:uiPriority w:val="0"/>
    <w:pPr>
      <w:numPr>
        <w:ilvl w:val="0"/>
      </w:numPr>
      <w:tabs>
        <w:tab w:val="left" w:pos="2517"/>
      </w:tabs>
      <w:spacing w:beforeLines="0" w:afterLines="0"/>
      <w:ind w:left="2517" w:hanging="419"/>
    </w:pPr>
    <w:rPr>
      <w:rFonts w:ascii="宋体" w:eastAsia="宋体"/>
      <w:lang w:val="zh-CN"/>
    </w:rPr>
  </w:style>
  <w:style w:type="character" w:customStyle="1" w:styleId="106">
    <w:name w:val="正文文本 字符"/>
    <w:basedOn w:val="27"/>
    <w:link w:val="2"/>
    <w:qFormat/>
    <w:uiPriority w:val="0"/>
    <w:rPr>
      <w:rFonts w:ascii="宋体" w:hAnsi="宋体" w:cs="宋体"/>
      <w:sz w:val="24"/>
      <w:szCs w:val="24"/>
    </w:rPr>
  </w:style>
  <w:style w:type="character" w:customStyle="1" w:styleId="107">
    <w:name w:val="未处理的提及1"/>
    <w:basedOn w:val="27"/>
    <w:semiHidden/>
    <w:unhideWhenUsed/>
    <w:qFormat/>
    <w:uiPriority w:val="99"/>
    <w:rPr>
      <w:color w:val="605E5C"/>
      <w:shd w:val="clear" w:color="auto" w:fill="E1DFDD"/>
    </w:rPr>
  </w:style>
  <w:style w:type="paragraph" w:customStyle="1" w:styleId="108">
    <w:name w:val="修订5"/>
    <w:hidden/>
    <w:semiHidden/>
    <w:qFormat/>
    <w:uiPriority w:val="99"/>
    <w:rPr>
      <w:rFonts w:ascii="宋体" w:hAnsi="宋体" w:eastAsia="宋体" w:cs="宋体"/>
      <w:sz w:val="24"/>
      <w:szCs w:val="24"/>
      <w:lang w:val="en-US" w:eastAsia="zh-CN" w:bidi="ar-SA"/>
    </w:rPr>
  </w:style>
  <w:style w:type="paragraph" w:customStyle="1" w:styleId="109">
    <w:name w:val="修订6"/>
    <w:hidden/>
    <w:semiHidden/>
    <w:qFormat/>
    <w:uiPriority w:val="99"/>
    <w:rPr>
      <w:rFonts w:ascii="宋体" w:hAnsi="宋体" w:eastAsia="宋体" w:cs="宋体"/>
      <w:sz w:val="24"/>
      <w:szCs w:val="24"/>
      <w:lang w:val="en-US" w:eastAsia="zh-CN" w:bidi="ar-SA"/>
    </w:rPr>
  </w:style>
  <w:style w:type="paragraph" w:customStyle="1" w:styleId="110">
    <w:name w:val="附录标题"/>
    <w:basedOn w:val="41"/>
    <w:next w:val="41"/>
    <w:qFormat/>
    <w:uiPriority w:val="0"/>
    <w:pPr>
      <w:ind w:firstLine="0" w:firstLineChars="0"/>
      <w:jc w:val="center"/>
    </w:pPr>
    <w:rPr>
      <w:rFonts w:ascii="黑体" w:eastAsia="黑体"/>
    </w:rPr>
  </w:style>
  <w:style w:type="paragraph" w:customStyle="1" w:styleId="111">
    <w:name w:val="附录表标号"/>
    <w:basedOn w:val="1"/>
    <w:next w:val="41"/>
    <w:qFormat/>
    <w:uiPriority w:val="0"/>
    <w:pPr>
      <w:widowControl w:val="0"/>
      <w:spacing w:line="14" w:lineRule="exact"/>
      <w:ind w:left="811" w:hanging="448"/>
      <w:jc w:val="center"/>
      <w:outlineLvl w:val="0"/>
    </w:pPr>
    <w:rPr>
      <w:rFonts w:ascii="Times New Roman" w:hAnsi="Times New Roman" w:cs="Times New Roman"/>
      <w:color w:val="FFFFFF"/>
      <w:kern w:val="2"/>
      <w:sz w:val="21"/>
    </w:rPr>
  </w:style>
  <w:style w:type="paragraph" w:customStyle="1" w:styleId="112">
    <w:name w:val="正文图标题"/>
    <w:next w:val="41"/>
    <w:qFormat/>
    <w:uiPriority w:val="0"/>
    <w:pPr>
      <w:numPr>
        <w:ilvl w:val="0"/>
        <w:numId w:val="12"/>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13">
    <w:name w:val="终结线"/>
    <w:basedOn w:val="1"/>
    <w:qFormat/>
    <w:uiPriority w:val="0"/>
    <w:pPr>
      <w:framePr w:hSpace="181" w:vSpace="181" w:wrap="around" w:vAnchor="text" w:hAnchor="margin" w:xAlign="center" w:y="285"/>
      <w:widowControl w:val="0"/>
      <w:numPr>
        <w:ilvl w:val="0"/>
        <w:numId w:val="13"/>
      </w:numPr>
      <w:ind w:left="0"/>
      <w:jc w:val="both"/>
    </w:pPr>
    <w:rPr>
      <w:rFonts w:ascii="Times New Roman" w:hAnsi="Times New Roman" w:cs="Times New Roman"/>
      <w:kern w:val="2"/>
      <w:sz w:val="21"/>
    </w:rPr>
  </w:style>
  <w:style w:type="paragraph" w:customStyle="1" w:styleId="114">
    <w:name w:val="_表格条文"/>
    <w:basedOn w:val="1"/>
    <w:qFormat/>
    <w:uiPriority w:val="0"/>
    <w:pPr>
      <w:widowControl w:val="0"/>
      <w:spacing w:line="276" w:lineRule="auto"/>
      <w:jc w:val="both"/>
    </w:pPr>
    <w:rPr>
      <w:rFonts w:ascii="Arial" w:hAnsi="Arial" w:cs="Times New Roman"/>
      <w:color w:val="000000"/>
      <w:kern w:val="2"/>
      <w:sz w:val="18"/>
      <w:szCs w:val="21"/>
    </w:rPr>
  </w:style>
  <w:style w:type="paragraph" w:customStyle="1" w:styleId="115">
    <w:name w:val="p0"/>
    <w:basedOn w:val="1"/>
    <w:qFormat/>
    <w:uiPriority w:val="0"/>
    <w:pPr>
      <w:jc w:val="both"/>
    </w:pPr>
    <w:rPr>
      <w:rFonts w:ascii="Calibri" w:hAnsi="Calibri"/>
      <w:sz w:val="21"/>
      <w:szCs w:val="21"/>
    </w:rPr>
  </w:style>
  <w:style w:type="character" w:customStyle="1" w:styleId="116">
    <w:name w:val="未处理的提及2"/>
    <w:basedOn w:val="27"/>
    <w:semiHidden/>
    <w:unhideWhenUsed/>
    <w:qFormat/>
    <w:uiPriority w:val="99"/>
    <w:rPr>
      <w:color w:val="605E5C"/>
      <w:shd w:val="clear" w:color="auto" w:fill="E1DFDD"/>
    </w:rPr>
  </w:style>
  <w:style w:type="paragraph" w:customStyle="1" w:styleId="117">
    <w:name w:val="修订7"/>
    <w:hidden/>
    <w:semiHidden/>
    <w:qFormat/>
    <w:uiPriority w:val="99"/>
    <w:rPr>
      <w:rFonts w:ascii="宋体" w:hAnsi="宋体" w:eastAsia="宋体" w:cs="宋体"/>
      <w:sz w:val="24"/>
      <w:szCs w:val="24"/>
      <w:lang w:val="en-US" w:eastAsia="zh-CN" w:bidi="ar-SA"/>
    </w:rPr>
  </w:style>
  <w:style w:type="paragraph" w:customStyle="1" w:styleId="118">
    <w:name w:val="修订8"/>
    <w:hidden/>
    <w:semiHidden/>
    <w:qFormat/>
    <w:uiPriority w:val="99"/>
    <w:rPr>
      <w:rFonts w:ascii="宋体" w:hAnsi="宋体" w:eastAsia="宋体" w:cs="宋体"/>
      <w:sz w:val="24"/>
      <w:szCs w:val="24"/>
      <w:lang w:val="en-US" w:eastAsia="zh-CN" w:bidi="ar-SA"/>
    </w:rPr>
  </w:style>
  <w:style w:type="paragraph" w:customStyle="1" w:styleId="119">
    <w:name w:val="修订9"/>
    <w:hidden/>
    <w:semiHidden/>
    <w:qFormat/>
    <w:uiPriority w:val="99"/>
    <w:rPr>
      <w:rFonts w:ascii="宋体" w:hAnsi="宋体" w:eastAsia="宋体" w:cs="宋体"/>
      <w:sz w:val="24"/>
      <w:szCs w:val="24"/>
      <w:lang w:val="en-US" w:eastAsia="zh-CN" w:bidi="ar-SA"/>
    </w:rPr>
  </w:style>
  <w:style w:type="paragraph" w:customStyle="1" w:styleId="120">
    <w:name w:val="修订10"/>
    <w:hidden/>
    <w:unhideWhenUsed/>
    <w:qFormat/>
    <w:uiPriority w:val="99"/>
    <w:rPr>
      <w:rFonts w:ascii="宋体" w:hAnsi="宋体" w:eastAsia="宋体" w:cs="宋体"/>
      <w:sz w:val="24"/>
      <w:szCs w:val="24"/>
      <w:lang w:val="en-US" w:eastAsia="zh-CN" w:bidi="ar-SA"/>
    </w:rPr>
  </w:style>
  <w:style w:type="paragraph" w:customStyle="1" w:styleId="121">
    <w:name w:val="mx-表格内序号"/>
    <w:basedOn w:val="1"/>
    <w:qFormat/>
    <w:uiPriority w:val="0"/>
    <w:pPr>
      <w:widowControl w:val="0"/>
      <w:spacing w:before="120" w:after="120"/>
      <w:jc w:val="both"/>
    </w:pPr>
    <w:rPr>
      <w:rFonts w:ascii="Times New Roman" w:hAnsi="Times New Roman"/>
      <w:szCs w:val="20"/>
    </w:rPr>
  </w:style>
  <w:style w:type="paragraph" w:customStyle="1" w:styleId="122">
    <w:name w:val="修订11"/>
    <w:hidden/>
    <w:unhideWhenUsed/>
    <w:qFormat/>
    <w:uiPriority w:val="99"/>
    <w:rPr>
      <w:rFonts w:ascii="宋体" w:hAnsi="宋体" w:eastAsia="宋体" w:cs="宋体"/>
      <w:sz w:val="24"/>
      <w:szCs w:val="24"/>
      <w:lang w:val="en-US" w:eastAsia="zh-CN" w:bidi="ar-SA"/>
    </w:rPr>
  </w:style>
  <w:style w:type="paragraph" w:customStyle="1" w:styleId="123">
    <w:name w:val="修订12"/>
    <w:hidden/>
    <w:unhideWhenUsed/>
    <w:qFormat/>
    <w:uiPriority w:val="99"/>
    <w:rPr>
      <w:rFonts w:ascii="宋体" w:hAnsi="宋体" w:eastAsia="宋体" w:cs="宋体"/>
      <w:sz w:val="24"/>
      <w:szCs w:val="24"/>
      <w:lang w:val="en-US" w:eastAsia="zh-CN" w:bidi="ar-SA"/>
    </w:rPr>
  </w:style>
  <w:style w:type="paragraph" w:customStyle="1" w:styleId="124">
    <w:name w:val="Revision"/>
    <w:hidden/>
    <w:unhideWhenUsed/>
    <w:qFormat/>
    <w:uiPriority w:val="99"/>
    <w:rPr>
      <w:rFonts w:ascii="宋体" w:hAnsi="宋体" w:eastAsia="宋体" w:cs="宋体"/>
      <w:sz w:val="24"/>
      <w:szCs w:val="24"/>
      <w:lang w:val="en-US" w:eastAsia="zh-CN" w:bidi="ar-SA"/>
    </w:rPr>
  </w:style>
  <w:style w:type="paragraph" w:customStyle="1" w:styleId="125">
    <w:name w:val="基准标题"/>
    <w:basedOn w:val="2"/>
    <w:next w:val="2"/>
    <w:autoRedefine/>
    <w:qFormat/>
    <w:uiPriority w:val="0"/>
    <w:pPr>
      <w:widowControl w:val="0"/>
      <w:spacing w:after="0" w:line="360" w:lineRule="auto"/>
      <w:jc w:val="center"/>
    </w:pPr>
    <w:rPr>
      <w:rFonts w:ascii="Calibri" w:hAnsi="Calibri" w:cs="Times New Roman"/>
      <w:kern w:val="2"/>
    </w:rPr>
  </w:style>
  <w:style w:type="character" w:customStyle="1" w:styleId="126">
    <w:name w:val="tgt1"/>
    <w:basedOn w:val="27"/>
    <w:qFormat/>
    <w:uiPriority w:val="0"/>
  </w:style>
  <w:style w:type="character" w:customStyle="1" w:styleId="127">
    <w:name w:val="批注文字 Char1"/>
    <w:qFormat/>
    <w:uiPriority w:val="0"/>
    <w:rPr>
      <w:kern w:val="2"/>
      <w:sz w:val="21"/>
    </w:rPr>
  </w:style>
  <w:style w:type="paragraph" w:customStyle="1" w:styleId="128">
    <w:name w:val="样式1"/>
    <w:basedOn w:val="34"/>
    <w:link w:val="129"/>
    <w:qFormat/>
    <w:uiPriority w:val="0"/>
    <w:pPr>
      <w:numPr>
        <w:numId w:val="9"/>
      </w:numPr>
      <w:spacing w:before="156" w:after="156"/>
    </w:pPr>
  </w:style>
  <w:style w:type="character" w:customStyle="1" w:styleId="129">
    <w:name w:val="样式1 字符"/>
    <w:basedOn w:val="97"/>
    <w:link w:val="128"/>
    <w:qFormat/>
    <w:uiPriority w:val="0"/>
    <w:rPr>
      <w:rFonts w:ascii="黑体" w:eastAsia="黑体"/>
      <w:sz w:val="21"/>
      <w:szCs w:val="21"/>
    </w:rPr>
  </w:style>
  <w:style w:type="paragraph" w:customStyle="1" w:styleId="130">
    <w:name w:val="1.1yangshi"/>
    <w:basedOn w:val="128"/>
    <w:link w:val="131"/>
    <w:qFormat/>
    <w:uiPriority w:val="0"/>
  </w:style>
  <w:style w:type="character" w:customStyle="1" w:styleId="131">
    <w:name w:val="1.1yangshi 字符"/>
    <w:basedOn w:val="129"/>
    <w:link w:val="130"/>
    <w:qFormat/>
    <w:uiPriority w:val="0"/>
    <w:rPr>
      <w:rFonts w:ascii="黑体" w:eastAsia="黑体"/>
      <w:sz w:val="21"/>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wmf"/><Relationship Id="rId18" Type="http://schemas.openxmlformats.org/officeDocument/2006/relationships/oleObject" Target="embeddings/oleObject3.bin"/><Relationship Id="rId17" Type="http://schemas.openxmlformats.org/officeDocument/2006/relationships/image" Target="media/image3.wmf"/><Relationship Id="rId16" Type="http://schemas.openxmlformats.org/officeDocument/2006/relationships/oleObject" Target="embeddings/oleObject2.bin"/><Relationship Id="rId15" Type="http://schemas.openxmlformats.org/officeDocument/2006/relationships/image" Target="media/image2.wmf"/><Relationship Id="rId14" Type="http://schemas.openxmlformats.org/officeDocument/2006/relationships/oleObject" Target="embeddings/oleObject1.bin"/><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FBB64E-5182-4B52-A9DB-E9A631CF4545}">
  <ds:schemaRefs/>
</ds:datastoreItem>
</file>

<file path=docProps/app.xml><?xml version="1.0" encoding="utf-8"?>
<Properties xmlns="http://schemas.openxmlformats.org/officeDocument/2006/extended-properties" xmlns:vt="http://schemas.openxmlformats.org/officeDocument/2006/docPropsVTypes">
  <Template>Normal</Template>
  <Pages>21</Pages>
  <Words>4348</Words>
  <Characters>6673</Characters>
  <Lines>134</Lines>
  <Paragraphs>37</Paragraphs>
  <TotalTime>0</TotalTime>
  <ScaleCrop>false</ScaleCrop>
  <LinksUpToDate>false</LinksUpToDate>
  <CharactersWithSpaces>7006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2023-08-01T09:12:00Z</dcterms:created>
  <dc:creator>Honey</dc:creator>
  <cp:lastModifiedBy>大萝卜</cp:lastModifiedBy>
  <cp:lastPrinted>2024-06-06T03:26:00Z</cp:lastPrinted>
  <dcterms:modified xsi:type="dcterms:W3CDTF">2025-04-01T04:52:18Z</dcterms:modified>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40C27BA4BC42421691A362EE787EC1CE_13</vt:lpwstr>
  </property>
  <property fmtid="{D5CDD505-2E9C-101B-9397-08002B2CF9AE}" pid="4" name="KSOTemplateDocerSaveRecord">
    <vt:lpwstr>eyJoZGlkIjoiODE2ZmIwNmJmZTI5ZWNhNTI3M2U2MzliNWE3ZmM3MWEiLCJ1c2VySWQiOiIxMDI2NjMzMDU4In0=</vt:lpwstr>
  </property>
</Properties>
</file>