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53BB1" w:rsidRDefault="00000000">
      <w:pPr>
        <w:pStyle w:val="aff"/>
        <w:framePr w:w="1391" w:h="609" w:hRule="exact" w:wrap="auto"/>
        <w:rPr>
          <w:rFonts w:hAnsi="黑体" w:cs="黑体" w:hint="eastAsia"/>
        </w:rPr>
      </w:pPr>
      <w:bookmarkStart w:id="0" w:name="_Toc47167915"/>
      <w:bookmarkStart w:id="1" w:name="_Toc47167740"/>
      <w:r>
        <w:rPr>
          <w:rFonts w:hAnsi="黑体" w:cs="黑体" w:hint="eastAsia"/>
        </w:rPr>
        <w:br w:type="page"/>
        <w:t>ICS 91.140.60</w:t>
      </w:r>
    </w:p>
    <w:p w:rsidR="00B53BB1" w:rsidRDefault="00000000">
      <w:pPr>
        <w:pStyle w:val="aff"/>
        <w:framePr w:w="1391" w:h="609" w:hRule="exact" w:wrap="auto"/>
        <w:rPr>
          <w:rFonts w:hAnsi="黑体" w:cs="黑体" w:hint="eastAsia"/>
        </w:rPr>
      </w:pPr>
      <w:r>
        <w:rPr>
          <w:rFonts w:hAnsi="黑体" w:cs="黑体" w:hint="eastAsia"/>
        </w:rPr>
        <w:t>CCS N 12</w:t>
      </w:r>
    </w:p>
    <w:p w:rsidR="00B53BB1" w:rsidRDefault="00B53BB1">
      <w:pPr>
        <w:pStyle w:val="Char"/>
        <w:ind w:firstLineChars="0" w:firstLine="0"/>
        <w:rPr>
          <w:rFonts w:ascii="Times New Roman"/>
          <w:szCs w:val="21"/>
        </w:rPr>
      </w:pPr>
    </w:p>
    <w:p w:rsidR="00B53BB1" w:rsidRDefault="00B53BB1">
      <w:pPr>
        <w:pStyle w:val="Char"/>
        <w:ind w:firstLineChars="0" w:firstLine="0"/>
        <w:jc w:val="right"/>
        <w:rPr>
          <w:rFonts w:ascii="Times New Roman"/>
          <w:sz w:val="28"/>
          <w:szCs w:val="28"/>
        </w:rPr>
      </w:pPr>
    </w:p>
    <w:p w:rsidR="00B53BB1" w:rsidRDefault="00B53BB1">
      <w:pPr>
        <w:pStyle w:val="Char"/>
        <w:ind w:firstLineChars="0" w:firstLine="0"/>
        <w:jc w:val="right"/>
        <w:rPr>
          <w:rFonts w:ascii="Times New Roman"/>
          <w:sz w:val="28"/>
          <w:szCs w:val="28"/>
        </w:rPr>
      </w:pPr>
    </w:p>
    <w:p w:rsidR="00B53BB1" w:rsidRDefault="00000000">
      <w:pPr>
        <w:pStyle w:val="Char"/>
        <w:spacing w:beforeLines="100" w:before="312"/>
        <w:ind w:leftChars="50" w:left="19209" w:hangingChars="3400" w:hanging="19104"/>
        <w:jc w:val="distribute"/>
        <w:rPr>
          <w:rFonts w:ascii="黑体" w:eastAsia="黑体" w:hAnsi="黑体" w:cs="黑体" w:hint="eastAsia"/>
          <w:b/>
          <w:spacing w:val="130"/>
          <w:w w:val="150"/>
          <w:sz w:val="48"/>
          <w:szCs w:val="48"/>
        </w:rPr>
      </w:pPr>
      <w:r>
        <w:rPr>
          <w:rFonts w:ascii="Times New Roman" w:eastAsia="黑体" w:hAnsi="Times New Roman" w:cs="Times New Roman" w:hint="eastAsia"/>
          <w:b/>
          <w:spacing w:val="40"/>
          <w:sz w:val="48"/>
          <w:szCs w:val="52"/>
        </w:rPr>
        <w:t>团体标准</w:t>
      </w:r>
    </w:p>
    <w:p w:rsidR="00B53BB1" w:rsidRDefault="00000000">
      <w:pPr>
        <w:pStyle w:val="Char"/>
        <w:ind w:leftChars="50" w:left="9625" w:hangingChars="3400" w:hanging="9520"/>
        <w:jc w:val="right"/>
        <w:rPr>
          <w:rFonts w:ascii="Times New Roman" w:eastAsia="黑体" w:hAnsi="Times New Roman" w:cs="Times New Roman"/>
          <w:bCs/>
          <w:sz w:val="28"/>
          <w:szCs w:val="28"/>
        </w:rPr>
      </w:pPr>
      <w:bookmarkStart w:id="2" w:name="_Hlk184718059"/>
      <w:r>
        <w:rPr>
          <w:rFonts w:ascii="Times New Roman" w:eastAsia="黑体" w:hAnsi="Times New Roman" w:cs="Times New Roman"/>
          <w:bCs/>
          <w:sz w:val="28"/>
          <w:szCs w:val="28"/>
        </w:rPr>
        <w:t>T/CIMA 0161.3</w:t>
      </w:r>
    </w:p>
    <w:bookmarkEnd w:id="2"/>
    <w:p w:rsidR="00B53BB1" w:rsidRDefault="00000000">
      <w:pPr>
        <w:pStyle w:val="Char"/>
        <w:ind w:leftChars="50" w:left="7245" w:hangingChars="3400" w:hanging="7140"/>
        <w:jc w:val="right"/>
        <w:rPr>
          <w:rFonts w:ascii="Times New Roman" w:hAnsi="Times New Roman" w:cs="Times New Roman"/>
          <w:sz w:val="28"/>
          <w:szCs w:val="28"/>
        </w:rPr>
      </w:pPr>
      <w:r>
        <w:rPr>
          <w:noProof/>
          <w:szCs w:val="21"/>
        </w:rPr>
        <mc:AlternateContent>
          <mc:Choice Requires="wps">
            <w:drawing>
              <wp:anchor distT="0" distB="0" distL="114300" distR="114300" simplePos="0" relativeHeight="251663360" behindDoc="0" locked="0" layoutInCell="1" allowOverlap="1">
                <wp:simplePos x="0" y="0"/>
                <wp:positionH relativeFrom="column">
                  <wp:posOffset>-29210</wp:posOffset>
                </wp:positionH>
                <wp:positionV relativeFrom="paragraph">
                  <wp:posOffset>309880</wp:posOffset>
                </wp:positionV>
                <wp:extent cx="6036945" cy="8255"/>
                <wp:effectExtent l="0" t="0" r="0" b="0"/>
                <wp:wrapNone/>
                <wp:docPr id="1" name="直接箭头连接符 1"/>
                <wp:cNvGraphicFramePr/>
                <a:graphic xmlns:a="http://schemas.openxmlformats.org/drawingml/2006/main">
                  <a:graphicData uri="http://schemas.microsoft.com/office/word/2010/wordprocessingShape">
                    <wps:wsp>
                      <wps:cNvCnPr/>
                      <wps:spPr>
                        <a:xfrm flipV="1">
                          <a:off x="0" y="0"/>
                          <a:ext cx="6036945" cy="82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flip:y;margin-left:-2.3pt;margin-top:24.4pt;height:0.65pt;width:475.35pt;z-index:251663360;mso-width-relative:page;mso-height-relative:page;" filled="f" stroked="t" coordsize="21600,21600" o:gfxdata="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So4XXWAAAACAEAAA8AAAAAAAAAAQAgAAAAIgAAAGRycy9k&#10;b3ducmV2LnhtbFBLAQIUABQAAAAIAIdO4kC5kmIwBAIAAPkDAAAOAAAAAAAAAAEAIAAAACUBAABk&#10;cnMvZTJvRG9jLnhtbFBLBQYAAAAABgAGAFkBAACbBQAAAAA=&#10;">
                <v:fill on="f" focussize="0,0"/>
                <v:stroke color="#000000" joinstyle="round"/>
                <v:imagedata o:title=""/>
                <o:lock v:ext="edit" aspectratio="f"/>
              </v:shape>
            </w:pict>
          </mc:Fallback>
        </mc:AlternateContent>
      </w:r>
    </w:p>
    <w:p w:rsidR="00B53BB1" w:rsidRDefault="00B53BB1">
      <w:pPr>
        <w:adjustRightInd w:val="0"/>
        <w:snapToGrid w:val="0"/>
        <w:spacing w:before="156" w:after="156"/>
        <w:ind w:leftChars="-64" w:left="-134" w:rightChars="86" w:right="181" w:firstLineChars="177" w:firstLine="372"/>
        <w:jc w:val="center"/>
      </w:pPr>
    </w:p>
    <w:p w:rsidR="00B53BB1" w:rsidRDefault="00B53BB1">
      <w:pPr>
        <w:jc w:val="center"/>
        <w:rPr>
          <w:rFonts w:ascii="黑体" w:eastAsia="黑体" w:hAnsi="黑体" w:cs="黑体" w:hint="eastAsia"/>
          <w:sz w:val="52"/>
          <w:szCs w:val="52"/>
        </w:rPr>
      </w:pPr>
    </w:p>
    <w:p w:rsidR="00B53BB1" w:rsidRDefault="00000000">
      <w:pPr>
        <w:jc w:val="center"/>
        <w:rPr>
          <w:rFonts w:ascii="黑体" w:eastAsia="黑体" w:hAnsi="黑体" w:cs="黑体" w:hint="eastAsia"/>
          <w:sz w:val="52"/>
          <w:szCs w:val="52"/>
        </w:rPr>
      </w:pPr>
      <w:r>
        <w:rPr>
          <w:rFonts w:ascii="黑体" w:eastAsia="黑体" w:hAnsi="黑体" w:cs="黑体" w:hint="eastAsia"/>
          <w:sz w:val="52"/>
          <w:szCs w:val="52"/>
        </w:rPr>
        <w:t>生物气溶胶实验仪器设备  发生器</w:t>
      </w:r>
    </w:p>
    <w:p w:rsidR="00B53BB1" w:rsidRDefault="00000000">
      <w:pPr>
        <w:spacing w:after="156"/>
        <w:jc w:val="center"/>
        <w:rPr>
          <w:rFonts w:ascii="黑体" w:eastAsia="黑体" w:hAnsi="黑体" w:hint="eastAsia"/>
          <w:sz w:val="52"/>
          <w:szCs w:val="52"/>
          <w:lang w:val="fr-FR"/>
        </w:rPr>
      </w:pPr>
      <w:r>
        <w:rPr>
          <w:rFonts w:ascii="黑体" w:eastAsia="黑体" w:hAnsi="黑体" w:cs="黑体" w:hint="eastAsia"/>
          <w:sz w:val="52"/>
          <w:szCs w:val="52"/>
        </w:rPr>
        <w:t>第2部分：单分散气溶胶发生器</w:t>
      </w:r>
    </w:p>
    <w:p w:rsidR="00B53BB1" w:rsidRDefault="00000000">
      <w:pPr>
        <w:jc w:val="center"/>
        <w:rPr>
          <w:rFonts w:ascii="黑体" w:eastAsia="黑体" w:hAnsi="黑体" w:cs="黑体" w:hint="eastAsia"/>
          <w:kern w:val="0"/>
          <w:sz w:val="28"/>
          <w:szCs w:val="28"/>
        </w:rPr>
      </w:pPr>
      <w:r>
        <w:rPr>
          <w:rFonts w:ascii="黑体" w:eastAsia="黑体" w:hAnsi="黑体" w:cs="黑体" w:hint="eastAsia"/>
          <w:kern w:val="0"/>
          <w:sz w:val="28"/>
          <w:szCs w:val="28"/>
        </w:rPr>
        <w:t>Biological aerosol experimental equipment—Generator—Part 2: Monodiaperse aerosol generator</w:t>
      </w:r>
    </w:p>
    <w:p w:rsidR="00B53BB1" w:rsidRDefault="00000000">
      <w:pPr>
        <w:jc w:val="center"/>
        <w:rPr>
          <w:rFonts w:ascii="黑体" w:eastAsia="黑体" w:hAnsi="黑体" w:cs="黑体" w:hint="eastAsia"/>
          <w:kern w:val="0"/>
          <w:sz w:val="28"/>
          <w:szCs w:val="28"/>
          <w:lang w:val="fr-FR"/>
        </w:rPr>
      </w:pPr>
      <w:r>
        <w:rPr>
          <w:rFonts w:ascii="黑体" w:eastAsia="黑体" w:hAnsi="黑体" w:cs="黑体" w:hint="eastAsia"/>
          <w:kern w:val="0"/>
          <w:sz w:val="28"/>
          <w:szCs w:val="28"/>
          <w:lang w:val="fr-FR"/>
        </w:rPr>
        <w:t>（</w:t>
      </w:r>
      <w:r>
        <w:rPr>
          <w:rFonts w:ascii="黑体" w:eastAsia="黑体" w:hAnsi="黑体" w:cs="黑体" w:hint="eastAsia"/>
          <w:kern w:val="0"/>
          <w:sz w:val="28"/>
          <w:szCs w:val="28"/>
        </w:rPr>
        <w:t>征求意见稿</w:t>
      </w:r>
      <w:r>
        <w:rPr>
          <w:rFonts w:ascii="黑体" w:eastAsia="黑体" w:hAnsi="黑体" w:cs="黑体" w:hint="eastAsia"/>
          <w:kern w:val="0"/>
          <w:sz w:val="28"/>
          <w:szCs w:val="28"/>
          <w:lang w:val="fr-FR"/>
        </w:rPr>
        <w:t>）</w:t>
      </w:r>
    </w:p>
    <w:p w:rsidR="00B53BB1" w:rsidRDefault="00000000">
      <w:pPr>
        <w:pStyle w:val="af9"/>
        <w:rPr>
          <w:rFonts w:ascii="宋体" w:eastAsia="宋体" w:hAnsi="宋体" w:cs="宋体" w:hint="eastAsia"/>
        </w:rPr>
      </w:pPr>
      <w:r>
        <w:rPr>
          <w:rFonts w:ascii="宋体" w:eastAsia="宋体" w:hAnsi="宋体" w:cs="宋体" w:hint="eastAsia"/>
        </w:rPr>
        <w:t>在提交反馈意见时，请将您知道的相关专利连同支持性文件一并附上。</w:t>
      </w:r>
    </w:p>
    <w:p w:rsidR="00B53BB1" w:rsidRDefault="00B53BB1">
      <w:pPr>
        <w:adjustRightInd w:val="0"/>
        <w:snapToGrid w:val="0"/>
        <w:spacing w:before="156" w:after="156"/>
        <w:ind w:leftChars="-64" w:left="-134" w:rightChars="86" w:right="181" w:firstLineChars="177" w:firstLine="372"/>
        <w:jc w:val="center"/>
      </w:pPr>
    </w:p>
    <w:p w:rsidR="00B53BB1" w:rsidRDefault="00B53BB1">
      <w:pPr>
        <w:adjustRightInd w:val="0"/>
        <w:snapToGrid w:val="0"/>
        <w:spacing w:before="156" w:after="156"/>
        <w:ind w:leftChars="-64" w:left="-134" w:rightChars="86" w:right="181" w:firstLineChars="177" w:firstLine="372"/>
        <w:jc w:val="center"/>
      </w:pPr>
    </w:p>
    <w:p w:rsidR="00B53BB1" w:rsidRDefault="00B53BB1">
      <w:pPr>
        <w:adjustRightInd w:val="0"/>
        <w:snapToGrid w:val="0"/>
        <w:spacing w:before="156" w:after="156"/>
        <w:ind w:leftChars="-64" w:left="-134" w:rightChars="86" w:right="181" w:firstLineChars="177" w:firstLine="372"/>
        <w:jc w:val="center"/>
      </w:pPr>
    </w:p>
    <w:p w:rsidR="00B53BB1" w:rsidRDefault="00B53BB1">
      <w:pPr>
        <w:adjustRightInd w:val="0"/>
        <w:snapToGrid w:val="0"/>
        <w:spacing w:before="156" w:after="156"/>
        <w:ind w:leftChars="-64" w:left="-134" w:rightChars="86" w:right="181" w:firstLineChars="177" w:firstLine="372"/>
        <w:jc w:val="center"/>
      </w:pPr>
    </w:p>
    <w:p w:rsidR="00B53BB1" w:rsidRDefault="00000000">
      <w:pPr>
        <w:widowControl/>
        <w:jc w:val="left"/>
        <w:rPr>
          <w:rFonts w:ascii="黑体" w:eastAsia="黑体" w:hAnsi="黑体" w:hint="eastAsia"/>
          <w:kern w:val="0"/>
          <w:sz w:val="32"/>
          <w:szCs w:val="20"/>
        </w:rPr>
      </w:pPr>
      <w:r>
        <w:rPr>
          <w:rFonts w:ascii="宋体" w:eastAsia="宋体" w:hAnsi="宋体"/>
          <w:b/>
          <w:noProof/>
          <w:spacing w:val="130"/>
          <w:sz w:val="44"/>
          <w:szCs w:val="44"/>
        </w:rPr>
        <mc:AlternateContent>
          <mc:Choice Requires="wps">
            <w:drawing>
              <wp:anchor distT="0" distB="0" distL="114300" distR="114300" simplePos="0" relativeHeight="251662336" behindDoc="0" locked="1" layoutInCell="1" allowOverlap="1">
                <wp:simplePos x="0" y="0"/>
                <wp:positionH relativeFrom="column">
                  <wp:posOffset>-95885</wp:posOffset>
                </wp:positionH>
                <wp:positionV relativeFrom="paragraph">
                  <wp:posOffset>1323975</wp:posOffset>
                </wp:positionV>
                <wp:extent cx="6120130" cy="0"/>
                <wp:effectExtent l="0" t="0" r="0" b="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xmlns:wpsCustomData="http://www.wps.cn/officeDocument/2013/wpsCustomData">
            <w:pict>
              <v:line id="_x0000_s1026" o:spid="_x0000_s1026" o:spt="20" style="position:absolute;left:0pt;margin-left:-7.55pt;margin-top:104.25pt;height:0pt;width:481.9pt;z-index:251662336;mso-width-relative:page;mso-height-relative:page;" filled="f" stroked="t" coordsize="21600,21600" o:gfxdata="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8VlOD&#10;2AAAAAsBAAAPAAAAAAAAAAEAIAAAACIAAABkcnMvZG93bnJldi54bWxQSwECFAAUAAAACACHTuJA&#10;ftgb+ugBAAC4AwAADgAAAAAAAAABACAAAAAnAQAAZHJzL2Uyb0RvYy54bWxQSwUGAAAAAAYABgBZ&#10;AQAAgQUAAAAA&#10;">
                <v:fill on="f" focussize="0,0"/>
                <v:stroke color="#000000" joinstyle="round"/>
                <v:imagedata o:title=""/>
                <o:lock v:ext="edit" aspectratio="f"/>
                <w10:anchorlock/>
              </v:line>
            </w:pict>
          </mc:Fallback>
        </mc:AlternateContent>
      </w:r>
    </w:p>
    <w:p w:rsidR="00B53BB1" w:rsidRDefault="00000000">
      <w:pPr>
        <w:pStyle w:val="aff0"/>
        <w:framePr w:wrap="auto" w:x="1436" w:y="13774"/>
        <w:rPr>
          <w:rFonts w:ascii="黑体" w:hAnsi="黑体" w:hint="eastAsia"/>
          <w:sz w:val="30"/>
          <w:szCs w:val="30"/>
        </w:rPr>
      </w:pPr>
      <w:r>
        <w:rPr>
          <w:rFonts w:ascii="Times New Roman" w:hAnsi="Times New Roman" w:cs="Times New Roman"/>
          <w:sz w:val="30"/>
          <w:szCs w:val="30"/>
        </w:rPr>
        <w:t>2024</w:t>
      </w:r>
      <w:r>
        <w:rPr>
          <w:rFonts w:ascii="Times New Roman" w:hAnsi="Times New Roman" w:cs="Times New Roman"/>
          <w:sz w:val="30"/>
          <w:szCs w:val="30"/>
        </w:rPr>
        <w:t>－</w:t>
      </w:r>
      <w:r>
        <w:rPr>
          <w:rFonts w:ascii="Times New Roman" w:hAnsi="Times New Roman" w:cs="Times New Roman"/>
          <w:sz w:val="30"/>
          <w:szCs w:val="30"/>
        </w:rPr>
        <w:t>xx</w:t>
      </w:r>
      <w:r>
        <w:rPr>
          <w:rFonts w:ascii="Times New Roman" w:hAnsi="Times New Roman" w:cs="Times New Roman"/>
          <w:sz w:val="30"/>
          <w:szCs w:val="30"/>
        </w:rPr>
        <w:t>－</w:t>
      </w:r>
      <w:r>
        <w:rPr>
          <w:rFonts w:ascii="Times New Roman" w:hAnsi="Times New Roman" w:cs="Times New Roman"/>
          <w:sz w:val="30"/>
          <w:szCs w:val="30"/>
        </w:rPr>
        <w:t xml:space="preserve">xx </w:t>
      </w:r>
      <w:r>
        <w:rPr>
          <w:rFonts w:ascii="黑体" w:hAnsi="黑体"/>
          <w:sz w:val="30"/>
          <w:szCs w:val="30"/>
        </w:rPr>
        <w:t>发布</w:t>
      </w:r>
    </w:p>
    <w:p w:rsidR="00B53BB1" w:rsidRDefault="00000000">
      <w:pPr>
        <w:pStyle w:val="aff1"/>
        <w:framePr w:wrap="auto" w:x="6770" w:y="13804"/>
        <w:rPr>
          <w:rFonts w:ascii="黑体" w:hAnsi="黑体" w:hint="eastAsia"/>
          <w:sz w:val="30"/>
          <w:szCs w:val="30"/>
        </w:rPr>
      </w:pPr>
      <w:r>
        <w:rPr>
          <w:rFonts w:ascii="Times New Roman" w:hAnsi="Times New Roman" w:cs="Times New Roman"/>
          <w:sz w:val="30"/>
          <w:szCs w:val="30"/>
        </w:rPr>
        <w:t>2024</w:t>
      </w:r>
      <w:r>
        <w:rPr>
          <w:rFonts w:ascii="Times New Roman" w:hAnsi="Times New Roman" w:cs="Times New Roman"/>
          <w:sz w:val="30"/>
          <w:szCs w:val="30"/>
        </w:rPr>
        <w:t>－</w:t>
      </w:r>
      <w:r>
        <w:rPr>
          <w:rFonts w:ascii="Times New Roman" w:hAnsi="Times New Roman" w:cs="Times New Roman"/>
          <w:sz w:val="30"/>
          <w:szCs w:val="30"/>
        </w:rPr>
        <w:t>xx</w:t>
      </w:r>
      <w:r>
        <w:rPr>
          <w:rFonts w:ascii="Times New Roman" w:hAnsi="Times New Roman" w:cs="Times New Roman"/>
          <w:sz w:val="30"/>
          <w:szCs w:val="30"/>
        </w:rPr>
        <w:t>－</w:t>
      </w:r>
      <w:r>
        <w:rPr>
          <w:rFonts w:ascii="Times New Roman" w:hAnsi="Times New Roman" w:cs="Times New Roman"/>
          <w:sz w:val="30"/>
          <w:szCs w:val="30"/>
        </w:rPr>
        <w:t xml:space="preserve">xx </w:t>
      </w:r>
      <w:r>
        <w:rPr>
          <w:rFonts w:ascii="黑体" w:hAnsi="黑体"/>
          <w:sz w:val="30"/>
          <w:szCs w:val="30"/>
        </w:rPr>
        <w:t>实施</w:t>
      </w:r>
    </w:p>
    <w:bookmarkEnd w:id="0"/>
    <w:bookmarkEnd w:id="1"/>
    <w:p w:rsidR="00B53BB1" w:rsidRDefault="00B53BB1">
      <w:pPr>
        <w:pStyle w:val="ab"/>
        <w:spacing w:before="156" w:after="156" w:line="0" w:lineRule="atLeast"/>
        <w:rPr>
          <w:rFonts w:ascii="黑体" w:eastAsia="黑体" w:hAnsi="黑体" w:hint="eastAsia"/>
        </w:rPr>
      </w:pPr>
    </w:p>
    <w:p w:rsidR="00B53BB1" w:rsidRDefault="00B53BB1">
      <w:pPr>
        <w:pStyle w:val="a3"/>
        <w:numPr>
          <w:ilvl w:val="0"/>
          <w:numId w:val="0"/>
        </w:numPr>
        <w:tabs>
          <w:tab w:val="clear" w:pos="525"/>
          <w:tab w:val="left" w:pos="709"/>
          <w:tab w:val="left" w:pos="993"/>
        </w:tabs>
        <w:wordWrap/>
        <w:overflowPunct/>
        <w:autoSpaceDE/>
        <w:autoSpaceDN/>
        <w:spacing w:beforeLines="50" w:before="156" w:afterLines="50" w:after="156"/>
        <w:ind w:firstLineChars="200" w:firstLine="420"/>
        <w:contextualSpacing/>
        <w:textAlignment w:val="auto"/>
        <w:outlineLvl w:val="9"/>
        <w:rPr>
          <w:rFonts w:ascii="Times New Roman" w:eastAsia="宋体" w:hAnsi="Times New Roman"/>
          <w:kern w:val="2"/>
          <w:szCs w:val="24"/>
          <w:lang w:val="fr-FR"/>
        </w:rPr>
        <w:sectPr w:rsidR="00B53BB1">
          <w:headerReference w:type="default" r:id="rId8"/>
          <w:footerReference w:type="default" r:id="rId9"/>
          <w:pgSz w:w="11906" w:h="16838"/>
          <w:pgMar w:top="567" w:right="1134" w:bottom="1134" w:left="1417" w:header="851" w:footer="397" w:gutter="0"/>
          <w:pgNumType w:fmt="upperRoman" w:start="0"/>
          <w:cols w:space="425"/>
          <w:docGrid w:type="lines" w:linePitch="312"/>
        </w:sectPr>
      </w:pPr>
    </w:p>
    <w:p w:rsidR="00B53BB1" w:rsidRDefault="00000000">
      <w:pPr>
        <w:pStyle w:val="aff7"/>
        <w:rPr>
          <w:rFonts w:hint="eastAsia"/>
        </w:rPr>
        <w:sectPr w:rsidR="00B53BB1">
          <w:headerReference w:type="default" r:id="rId10"/>
          <w:footerReference w:type="default" r:id="rId11"/>
          <w:type w:val="continuous"/>
          <w:pgSz w:w="11906" w:h="16838"/>
          <w:pgMar w:top="1701" w:right="1134" w:bottom="1134" w:left="1417" w:header="1417" w:footer="964" w:gutter="0"/>
          <w:pgNumType w:fmt="upperRoman"/>
          <w:cols w:space="425"/>
          <w:titlePg/>
          <w:docGrid w:type="lines" w:linePitch="312"/>
        </w:sectPr>
      </w:pPr>
      <w:bookmarkStart w:id="3" w:name="_Toc180252792"/>
      <w:r>
        <w:rPr>
          <w:noProof/>
        </w:rPr>
        <mc:AlternateContent>
          <mc:Choice Requires="wps">
            <w:drawing>
              <wp:anchor distT="0" distB="0" distL="114300" distR="114300" simplePos="0" relativeHeight="251661312" behindDoc="0" locked="0" layoutInCell="1" allowOverlap="1">
                <wp:simplePos x="0" y="0"/>
                <wp:positionH relativeFrom="column">
                  <wp:posOffset>-85725</wp:posOffset>
                </wp:positionH>
                <wp:positionV relativeFrom="paragraph">
                  <wp:posOffset>939165</wp:posOffset>
                </wp:positionV>
                <wp:extent cx="5904865" cy="502920"/>
                <wp:effectExtent l="0" t="0" r="635" b="0"/>
                <wp:wrapSquare wrapText="bothSides"/>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865" cy="502920"/>
                        </a:xfrm>
                        <a:prstGeom prst="rect">
                          <a:avLst/>
                        </a:prstGeom>
                        <a:solidFill>
                          <a:srgbClr val="FFFFFF"/>
                        </a:solidFill>
                        <a:ln>
                          <a:noFill/>
                        </a:ln>
                        <a:effectLst/>
                      </wps:spPr>
                      <wps:txbx>
                        <w:txbxContent>
                          <w:p w:rsidR="00B53BB1" w:rsidRDefault="00000000">
                            <w:pPr>
                              <w:pStyle w:val="Char"/>
                              <w:spacing w:beforeLines="100" w:before="312" w:line="320" w:lineRule="exact"/>
                              <w:ind w:firstLineChars="0" w:firstLine="0"/>
                              <w:jc w:val="center"/>
                              <w:rPr>
                                <w:rFonts w:ascii="Times New Roman" w:eastAsia="黑体" w:hAnsi="Times New Roman" w:cs="Times New Roman"/>
                                <w:spacing w:val="20"/>
                                <w:w w:val="135"/>
                                <w:sz w:val="28"/>
                                <w:szCs w:val="20"/>
                              </w:rPr>
                            </w:pPr>
                            <w:r>
                              <w:rPr>
                                <w:rFonts w:ascii="Times New Roman" w:eastAsia="黑体" w:hAnsi="Times New Roman" w:cs="Times New Roman" w:hint="eastAsia"/>
                                <w:spacing w:val="20"/>
                                <w:w w:val="135"/>
                                <w:sz w:val="28"/>
                                <w:szCs w:val="20"/>
                              </w:rPr>
                              <w:t>中国仪器仪表行业协会   发</w:t>
                            </w:r>
                            <w:r>
                              <w:rPr>
                                <w:rFonts w:ascii="Times New Roman" w:eastAsia="黑体" w:hAnsi="Times New Roman" w:cs="Times New Roman" w:hint="eastAsia"/>
                                <w:spacing w:val="20"/>
                                <w:w w:val="135"/>
                                <w:sz w:val="28"/>
                                <w:szCs w:val="20"/>
                              </w:rPr>
                              <w:t xml:space="preserve"> </w:t>
                            </w:r>
                            <w:r>
                              <w:rPr>
                                <w:rFonts w:ascii="Times New Roman" w:eastAsia="黑体" w:hAnsi="Times New Roman" w:cs="Times New Roman" w:hint="eastAsia"/>
                                <w:spacing w:val="20"/>
                                <w:w w:val="135"/>
                                <w:sz w:val="28"/>
                                <w:szCs w:val="20"/>
                              </w:rPr>
                              <w:t>布</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6.75pt;margin-top:73.95pt;width:464.95pt;height:39.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" stroked="f">
                <v:textbox>
                  <w:txbxContent>
                    <w:p w:rsidR="00B53BB1" w:rsidRDefault="00000000">
                      <w:pPr>
                        <w:pStyle w:val="Char"/>
                        <w:spacing w:beforeLines="100" w:before="312" w:line="320" w:lineRule="exact"/>
                        <w:ind w:firstLineChars="0" w:firstLine="0"/>
                        <w:jc w:val="center"/>
                        <w:rPr>
                          <w:rFonts w:ascii="Times New Roman" w:eastAsia="黑体" w:hAnsi="Times New Roman" w:cs="Times New Roman"/>
                          <w:spacing w:val="20"/>
                          <w:w w:val="135"/>
                          <w:sz w:val="28"/>
                          <w:szCs w:val="20"/>
                        </w:rPr>
                      </w:pPr>
                      <w:r>
                        <w:rPr>
                          <w:rFonts w:ascii="Times New Roman" w:eastAsia="黑体" w:hAnsi="Times New Roman" w:cs="Times New Roman" w:hint="eastAsia"/>
                          <w:spacing w:val="20"/>
                          <w:w w:val="135"/>
                          <w:sz w:val="28"/>
                          <w:szCs w:val="20"/>
                        </w:rPr>
                        <w:t>中国仪器仪表行业协会   发</w:t>
                      </w:r>
                      <w:r>
                        <w:rPr>
                          <w:rFonts w:ascii="Times New Roman" w:eastAsia="黑体" w:hAnsi="Times New Roman" w:cs="Times New Roman" w:hint="eastAsia"/>
                          <w:spacing w:val="20"/>
                          <w:w w:val="135"/>
                          <w:sz w:val="28"/>
                          <w:szCs w:val="20"/>
                        </w:rPr>
                        <w:t xml:space="preserve"> </w:t>
                      </w:r>
                      <w:r>
                        <w:rPr>
                          <w:rFonts w:ascii="Times New Roman" w:eastAsia="黑体" w:hAnsi="Times New Roman" w:cs="Times New Roman" w:hint="eastAsia"/>
                          <w:spacing w:val="20"/>
                          <w:w w:val="135"/>
                          <w:sz w:val="28"/>
                          <w:szCs w:val="20"/>
                        </w:rPr>
                        <w:t>布</w:t>
                      </w:r>
                    </w:p>
                  </w:txbxContent>
                </v:textbox>
                <w10:wrap type="square"/>
              </v:shape>
            </w:pict>
          </mc:Fallback>
        </mc:AlternateContent>
      </w:r>
      <w:bookmarkEnd w:id="3"/>
    </w:p>
    <w:bookmarkStart w:id="4" w:name="_Toc180252793" w:displacedByCustomXml="next"/>
    <w:bookmarkStart w:id="5" w:name="_Toc16055" w:displacedByCustomXml="next"/>
    <w:bookmarkStart w:id="6" w:name="_Toc13783" w:displacedByCustomXml="next"/>
    <w:bookmarkStart w:id="7" w:name="_Toc248" w:displacedByCustomXml="next"/>
    <w:sdt>
      <w:sdtPr>
        <w:rPr>
          <w:rFonts w:asciiTheme="minorHAnsi" w:eastAsiaTheme="minorEastAsia" w:hAnsiTheme="minorHAnsi" w:cstheme="minorBidi" w:hint="eastAsia"/>
          <w:bCs w:val="0"/>
          <w:sz w:val="21"/>
          <w:szCs w:val="24"/>
          <w14:scene3d>
            <w14:camera w14:prst="orthographicFront"/>
            <w14:lightRig w14:rig="threePt" w14:dir="t">
              <w14:rot w14:lat="0" w14:lon="0" w14:rev="0"/>
            </w14:lightRig>
          </w14:scene3d>
        </w:rPr>
        <w:id w:val="147464967"/>
        <w15:color w:val="DBDBDB"/>
        <w:docPartObj>
          <w:docPartGallery w:val="Table of Contents"/>
          <w:docPartUnique/>
        </w:docPartObj>
      </w:sdtPr>
      <w:sdtEndPr>
        <w:rPr>
          <w:rFonts w:asciiTheme="minorEastAsia" w:hAnsiTheme="minorEastAsia"/>
        </w:rPr>
      </w:sdtEndPr>
      <w:sdtContent>
        <w:p w:rsidR="00B53BB1" w:rsidRDefault="00000000">
          <w:pPr>
            <w:pStyle w:val="aff7"/>
            <w:spacing w:before="850" w:after="680"/>
            <w:rPr>
              <w:rFonts w:hint="eastAsia"/>
            </w:rPr>
          </w:pPr>
          <w:r>
            <w:rPr>
              <w:rFonts w:hint="eastAsia"/>
            </w:rPr>
            <w:t>目    次</w:t>
          </w:r>
          <w:bookmarkEnd w:id="7"/>
          <w:bookmarkEnd w:id="6"/>
          <w:bookmarkEnd w:id="5"/>
          <w:bookmarkEnd w:id="4"/>
          <w:r>
            <w:rPr>
              <w:rFonts w:ascii="宋体" w:eastAsia="宋体" w:hAnsi="宋体" w:cs="宋体" w:hint="eastAsia"/>
              <w:b/>
              <w:szCs w:val="21"/>
            </w:rPr>
            <w:fldChar w:fldCharType="begin"/>
          </w:r>
          <w:r>
            <w:rPr>
              <w:rFonts w:ascii="宋体" w:eastAsia="宋体" w:hAnsi="宋体" w:cs="宋体" w:hint="eastAsia"/>
              <w:b/>
              <w:szCs w:val="21"/>
            </w:rPr>
            <w:instrText xml:space="preserve">TOC \o "1-2" \h \u </w:instrText>
          </w:r>
          <w:r>
            <w:rPr>
              <w:rFonts w:ascii="宋体" w:eastAsia="宋体" w:hAnsi="宋体" w:cs="宋体" w:hint="eastAsia"/>
              <w:b/>
              <w:szCs w:val="21"/>
            </w:rPr>
            <w:fldChar w:fldCharType="separate"/>
          </w:r>
        </w:p>
        <w:p w:rsidR="00B53BB1" w:rsidRDefault="00000000">
          <w:pPr>
            <w:pStyle w:val="TOC1"/>
            <w:spacing w:line="400" w:lineRule="exact"/>
            <w:rPr>
              <w:rFonts w:ascii="宋体" w:eastAsia="宋体" w:hAnsi="宋体" w:cs="宋体" w:hint="eastAsia"/>
              <w:szCs w:val="22"/>
              <w14:ligatures w14:val="standardContextual"/>
            </w:rPr>
          </w:pPr>
          <w:hyperlink w:anchor="_Toc180252794" w:history="1">
            <w:r>
              <w:rPr>
                <w:rStyle w:val="af5"/>
                <w:rFonts w:ascii="宋体" w:eastAsia="宋体" w:hAnsi="宋体" w:cs="宋体" w:hint="eastAsia"/>
                <w:color w:val="auto"/>
                <w:u w:val="none"/>
              </w:rPr>
              <w:t>前言</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_Toc180252794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II</w:t>
            </w:r>
            <w:r>
              <w:rPr>
                <w:rFonts w:ascii="宋体" w:eastAsia="宋体" w:hAnsi="宋体" w:cs="宋体" w:hint="eastAsia"/>
              </w:rPr>
              <w:fldChar w:fldCharType="end"/>
            </w:r>
          </w:hyperlink>
        </w:p>
        <w:p w:rsidR="00B53BB1" w:rsidRDefault="00000000">
          <w:pPr>
            <w:pStyle w:val="TOC1"/>
            <w:spacing w:line="400" w:lineRule="exact"/>
            <w:rPr>
              <w:rFonts w:ascii="宋体" w:eastAsia="宋体" w:hAnsi="宋体" w:cs="宋体" w:hint="eastAsia"/>
              <w:szCs w:val="22"/>
              <w14:ligatures w14:val="standardContextual"/>
            </w:rPr>
          </w:pPr>
          <w:hyperlink w:anchor="_Toc180252796" w:history="1">
            <w:r>
              <w:rPr>
                <w:rStyle w:val="af5"/>
                <w:rFonts w:ascii="宋体" w:eastAsia="宋体" w:hAnsi="宋体" w:cs="宋体" w:hint="eastAsia"/>
                <w:color w:val="auto"/>
                <w:u w:val="none"/>
              </w:rPr>
              <w:t>1  范围</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_Toc180252796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1</w:t>
            </w:r>
            <w:r>
              <w:rPr>
                <w:rFonts w:ascii="宋体" w:eastAsia="宋体" w:hAnsi="宋体" w:cs="宋体" w:hint="eastAsia"/>
              </w:rPr>
              <w:fldChar w:fldCharType="end"/>
            </w:r>
          </w:hyperlink>
        </w:p>
        <w:p w:rsidR="00B53BB1" w:rsidRDefault="00000000">
          <w:pPr>
            <w:pStyle w:val="TOC1"/>
            <w:spacing w:line="400" w:lineRule="exact"/>
            <w:rPr>
              <w:rFonts w:ascii="宋体" w:eastAsia="宋体" w:hAnsi="宋体" w:cs="宋体" w:hint="eastAsia"/>
              <w:szCs w:val="22"/>
              <w14:ligatures w14:val="standardContextual"/>
            </w:rPr>
          </w:pPr>
          <w:hyperlink w:anchor="_Toc180252797" w:history="1">
            <w:r>
              <w:rPr>
                <w:rStyle w:val="af5"/>
                <w:rFonts w:ascii="宋体" w:eastAsia="宋体" w:hAnsi="宋体" w:cs="宋体" w:hint="eastAsia"/>
                <w:color w:val="auto"/>
                <w:u w:val="none"/>
              </w:rPr>
              <w:t>2  规范性引用文件</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_Toc180252797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1</w:t>
            </w:r>
            <w:r>
              <w:rPr>
                <w:rFonts w:ascii="宋体" w:eastAsia="宋体" w:hAnsi="宋体" w:cs="宋体" w:hint="eastAsia"/>
              </w:rPr>
              <w:fldChar w:fldCharType="end"/>
            </w:r>
          </w:hyperlink>
        </w:p>
        <w:p w:rsidR="00B53BB1" w:rsidRDefault="00000000">
          <w:pPr>
            <w:pStyle w:val="TOC1"/>
            <w:spacing w:line="400" w:lineRule="exact"/>
            <w:rPr>
              <w:rFonts w:ascii="宋体" w:eastAsia="宋体" w:hAnsi="宋体" w:cs="宋体" w:hint="eastAsia"/>
              <w:szCs w:val="22"/>
              <w14:ligatures w14:val="standardContextual"/>
            </w:rPr>
          </w:pPr>
          <w:hyperlink w:anchor="_Toc180252798" w:history="1">
            <w:r>
              <w:rPr>
                <w:rStyle w:val="af5"/>
                <w:rFonts w:ascii="宋体" w:eastAsia="宋体" w:hAnsi="宋体" w:cs="宋体" w:hint="eastAsia"/>
                <w:color w:val="auto"/>
                <w:u w:val="none"/>
              </w:rPr>
              <w:t>3  术语和定义</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_Toc180252798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1</w:t>
            </w:r>
            <w:r>
              <w:rPr>
                <w:rFonts w:ascii="宋体" w:eastAsia="宋体" w:hAnsi="宋体" w:cs="宋体" w:hint="eastAsia"/>
              </w:rPr>
              <w:fldChar w:fldCharType="end"/>
            </w:r>
          </w:hyperlink>
        </w:p>
        <w:p w:rsidR="00B53BB1" w:rsidRDefault="00000000">
          <w:pPr>
            <w:pStyle w:val="TOC1"/>
            <w:spacing w:line="400" w:lineRule="exact"/>
            <w:rPr>
              <w:rFonts w:ascii="宋体" w:eastAsia="宋体" w:hAnsi="宋体" w:cs="宋体" w:hint="eastAsia"/>
              <w:szCs w:val="22"/>
              <w14:ligatures w14:val="standardContextual"/>
            </w:rPr>
          </w:pPr>
          <w:hyperlink w:anchor="_Toc180252803" w:history="1">
            <w:r>
              <w:rPr>
                <w:rStyle w:val="af5"/>
                <w:rFonts w:ascii="宋体" w:eastAsia="宋体" w:hAnsi="宋体" w:cs="宋体" w:hint="eastAsia"/>
                <w:color w:val="auto"/>
                <w:u w:val="none"/>
              </w:rPr>
              <w:t>4  结构与组成</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_Toc180252803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1</w:t>
            </w:r>
            <w:r>
              <w:rPr>
                <w:rFonts w:ascii="宋体" w:eastAsia="宋体" w:hAnsi="宋体" w:cs="宋体" w:hint="eastAsia"/>
              </w:rPr>
              <w:fldChar w:fldCharType="end"/>
            </w:r>
          </w:hyperlink>
        </w:p>
        <w:p w:rsidR="00B53BB1" w:rsidRDefault="00000000">
          <w:pPr>
            <w:pStyle w:val="TOC1"/>
            <w:spacing w:line="400" w:lineRule="exact"/>
            <w:rPr>
              <w:rFonts w:ascii="宋体" w:eastAsia="宋体" w:hAnsi="宋体" w:cs="宋体" w:hint="eastAsia"/>
              <w:szCs w:val="22"/>
              <w14:ligatures w14:val="standardContextual"/>
            </w:rPr>
          </w:pPr>
          <w:hyperlink w:anchor="_Toc180252804" w:history="1">
            <w:r>
              <w:rPr>
                <w:rStyle w:val="af5"/>
                <w:rFonts w:ascii="宋体" w:eastAsia="宋体" w:hAnsi="宋体" w:cs="宋体" w:hint="eastAsia"/>
                <w:color w:val="auto"/>
                <w:u w:val="none"/>
              </w:rPr>
              <w:t>5  通用要求</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_Toc180252804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2</w:t>
            </w:r>
            <w:r>
              <w:rPr>
                <w:rFonts w:ascii="宋体" w:eastAsia="宋体" w:hAnsi="宋体" w:cs="宋体" w:hint="eastAsia"/>
              </w:rPr>
              <w:fldChar w:fldCharType="end"/>
            </w:r>
          </w:hyperlink>
        </w:p>
        <w:p w:rsidR="00B53BB1" w:rsidRDefault="00000000">
          <w:pPr>
            <w:pStyle w:val="TOC1"/>
            <w:spacing w:line="400" w:lineRule="exact"/>
            <w:ind w:firstLineChars="200" w:firstLine="420"/>
            <w:rPr>
              <w:rStyle w:val="af5"/>
              <w:rFonts w:ascii="宋体" w:eastAsia="宋体" w:hAnsi="宋体" w:cs="宋体" w:hint="eastAsia"/>
              <w:color w:val="auto"/>
              <w:u w:val="none"/>
            </w:rPr>
          </w:pPr>
          <w:hyperlink w:anchor="_Toc180252805" w:history="1">
            <w:r>
              <w:rPr>
                <w:rStyle w:val="af5"/>
                <w:rFonts w:ascii="宋体" w:eastAsia="宋体" w:hAnsi="宋体" w:cs="宋体" w:hint="eastAsia"/>
                <w:color w:val="auto"/>
                <w:u w:val="none"/>
              </w:rPr>
              <w:t>5.1  基本性能</w:t>
            </w:r>
            <w:r>
              <w:rPr>
                <w:rStyle w:val="af5"/>
                <w:rFonts w:ascii="宋体" w:eastAsia="宋体" w:hAnsi="宋体" w:cs="宋体" w:hint="eastAsia"/>
                <w:color w:val="auto"/>
                <w:u w:val="none"/>
              </w:rPr>
              <w:tab/>
            </w:r>
            <w:r>
              <w:rPr>
                <w:rStyle w:val="af5"/>
                <w:rFonts w:ascii="宋体" w:eastAsia="宋体" w:hAnsi="宋体" w:cs="宋体" w:hint="eastAsia"/>
                <w:color w:val="auto"/>
                <w:u w:val="none"/>
              </w:rPr>
              <w:fldChar w:fldCharType="begin"/>
            </w:r>
            <w:r>
              <w:rPr>
                <w:rStyle w:val="af5"/>
                <w:rFonts w:ascii="宋体" w:eastAsia="宋体" w:hAnsi="宋体" w:cs="宋体" w:hint="eastAsia"/>
                <w:color w:val="auto"/>
                <w:u w:val="none"/>
              </w:rPr>
              <w:instrText xml:space="preserve"> PAGEREF _Toc180252805 \h </w:instrText>
            </w:r>
            <w:r>
              <w:rPr>
                <w:rStyle w:val="af5"/>
                <w:rFonts w:ascii="宋体" w:eastAsia="宋体" w:hAnsi="宋体" w:cs="宋体" w:hint="eastAsia"/>
                <w:color w:val="auto"/>
                <w:u w:val="none"/>
              </w:rPr>
            </w:r>
            <w:r>
              <w:rPr>
                <w:rStyle w:val="af5"/>
                <w:rFonts w:ascii="宋体" w:eastAsia="宋体" w:hAnsi="宋体" w:cs="宋体" w:hint="eastAsia"/>
                <w:color w:val="auto"/>
                <w:u w:val="none"/>
              </w:rPr>
              <w:fldChar w:fldCharType="separate"/>
            </w:r>
            <w:r>
              <w:rPr>
                <w:rStyle w:val="af5"/>
                <w:rFonts w:ascii="宋体" w:eastAsia="宋体" w:hAnsi="宋体" w:cs="宋体" w:hint="eastAsia"/>
                <w:color w:val="auto"/>
                <w:u w:val="none"/>
              </w:rPr>
              <w:t>2</w:t>
            </w:r>
            <w:r>
              <w:rPr>
                <w:rStyle w:val="af5"/>
                <w:rFonts w:ascii="宋体" w:eastAsia="宋体" w:hAnsi="宋体" w:cs="宋体" w:hint="eastAsia"/>
                <w:color w:val="auto"/>
                <w:u w:val="none"/>
              </w:rPr>
              <w:fldChar w:fldCharType="end"/>
            </w:r>
          </w:hyperlink>
        </w:p>
        <w:p w:rsidR="00B53BB1" w:rsidRDefault="00000000">
          <w:pPr>
            <w:pStyle w:val="TOC1"/>
            <w:spacing w:line="400" w:lineRule="exact"/>
            <w:ind w:firstLineChars="200" w:firstLine="420"/>
            <w:rPr>
              <w:rStyle w:val="af5"/>
              <w:rFonts w:ascii="宋体" w:eastAsia="宋体" w:hAnsi="宋体" w:cs="宋体" w:hint="eastAsia"/>
              <w:color w:val="auto"/>
              <w:u w:val="none"/>
            </w:rPr>
          </w:pPr>
          <w:hyperlink w:anchor="_Toc180252806" w:history="1">
            <w:r>
              <w:rPr>
                <w:rStyle w:val="af5"/>
                <w:rFonts w:ascii="宋体" w:eastAsia="宋体" w:hAnsi="宋体" w:cs="宋体" w:hint="eastAsia"/>
                <w:color w:val="auto"/>
                <w:u w:val="none"/>
              </w:rPr>
              <w:t>5.2  操作要求</w:t>
            </w:r>
            <w:r>
              <w:rPr>
                <w:rStyle w:val="af5"/>
                <w:rFonts w:ascii="宋体" w:eastAsia="宋体" w:hAnsi="宋体" w:cs="宋体" w:hint="eastAsia"/>
                <w:color w:val="auto"/>
                <w:u w:val="none"/>
              </w:rPr>
              <w:tab/>
            </w:r>
            <w:r>
              <w:rPr>
                <w:rStyle w:val="af5"/>
                <w:rFonts w:ascii="宋体" w:eastAsia="宋体" w:hAnsi="宋体" w:cs="宋体" w:hint="eastAsia"/>
                <w:color w:val="auto"/>
                <w:u w:val="none"/>
              </w:rPr>
              <w:fldChar w:fldCharType="begin"/>
            </w:r>
            <w:r>
              <w:rPr>
                <w:rStyle w:val="af5"/>
                <w:rFonts w:ascii="宋体" w:eastAsia="宋体" w:hAnsi="宋体" w:cs="宋体" w:hint="eastAsia"/>
                <w:color w:val="auto"/>
                <w:u w:val="none"/>
              </w:rPr>
              <w:instrText xml:space="preserve"> PAGEREF _Toc180252806 \h </w:instrText>
            </w:r>
            <w:r>
              <w:rPr>
                <w:rStyle w:val="af5"/>
                <w:rFonts w:ascii="宋体" w:eastAsia="宋体" w:hAnsi="宋体" w:cs="宋体" w:hint="eastAsia"/>
                <w:color w:val="auto"/>
                <w:u w:val="none"/>
              </w:rPr>
            </w:r>
            <w:r>
              <w:rPr>
                <w:rStyle w:val="af5"/>
                <w:rFonts w:ascii="宋体" w:eastAsia="宋体" w:hAnsi="宋体" w:cs="宋体" w:hint="eastAsia"/>
                <w:color w:val="auto"/>
                <w:u w:val="none"/>
              </w:rPr>
              <w:fldChar w:fldCharType="separate"/>
            </w:r>
            <w:r>
              <w:rPr>
                <w:rStyle w:val="af5"/>
                <w:rFonts w:ascii="宋体" w:eastAsia="宋体" w:hAnsi="宋体" w:cs="宋体" w:hint="eastAsia"/>
                <w:color w:val="auto"/>
                <w:u w:val="none"/>
              </w:rPr>
              <w:t>2</w:t>
            </w:r>
            <w:r>
              <w:rPr>
                <w:rStyle w:val="af5"/>
                <w:rFonts w:ascii="宋体" w:eastAsia="宋体" w:hAnsi="宋体" w:cs="宋体" w:hint="eastAsia"/>
                <w:color w:val="auto"/>
                <w:u w:val="none"/>
              </w:rPr>
              <w:fldChar w:fldCharType="end"/>
            </w:r>
          </w:hyperlink>
        </w:p>
        <w:p w:rsidR="00B53BB1" w:rsidRDefault="00000000">
          <w:pPr>
            <w:pStyle w:val="TOC1"/>
            <w:spacing w:line="400" w:lineRule="exact"/>
            <w:rPr>
              <w:rFonts w:ascii="宋体" w:eastAsia="宋体" w:hAnsi="宋体" w:cs="宋体" w:hint="eastAsia"/>
              <w:szCs w:val="22"/>
              <w14:ligatures w14:val="standardContextual"/>
            </w:rPr>
          </w:pPr>
          <w:hyperlink w:anchor="_Toc180252807" w:history="1">
            <w:r>
              <w:rPr>
                <w:rStyle w:val="af5"/>
                <w:rFonts w:ascii="宋体" w:eastAsia="宋体" w:hAnsi="宋体" w:cs="宋体" w:hint="eastAsia"/>
                <w:color w:val="auto"/>
                <w:u w:val="none"/>
              </w:rPr>
              <w:t>6  技术要求</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_Toc180252807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2</w:t>
            </w:r>
            <w:r>
              <w:rPr>
                <w:rFonts w:ascii="宋体" w:eastAsia="宋体" w:hAnsi="宋体" w:cs="宋体" w:hint="eastAsia"/>
              </w:rPr>
              <w:fldChar w:fldCharType="end"/>
            </w:r>
          </w:hyperlink>
        </w:p>
        <w:p w:rsidR="00B53BB1" w:rsidRDefault="00000000">
          <w:pPr>
            <w:pStyle w:val="TOC1"/>
            <w:spacing w:line="400" w:lineRule="exact"/>
            <w:ind w:firstLineChars="200" w:firstLine="420"/>
            <w:rPr>
              <w:rStyle w:val="af5"/>
              <w:rFonts w:ascii="宋体" w:eastAsia="宋体" w:hAnsi="宋体" w:cs="宋体" w:hint="eastAsia"/>
              <w:color w:val="auto"/>
              <w:u w:val="none"/>
            </w:rPr>
          </w:pPr>
          <w:hyperlink w:anchor="_Toc180252808" w:history="1">
            <w:r>
              <w:rPr>
                <w:rStyle w:val="af5"/>
                <w:rFonts w:ascii="宋体" w:eastAsia="宋体" w:hAnsi="宋体" w:cs="宋体" w:hint="eastAsia"/>
                <w:color w:val="auto"/>
                <w:u w:val="none"/>
              </w:rPr>
              <w:t>6.1  工作条件</w:t>
            </w:r>
            <w:r>
              <w:rPr>
                <w:rStyle w:val="af5"/>
                <w:rFonts w:ascii="宋体" w:eastAsia="宋体" w:hAnsi="宋体" w:cs="宋体" w:hint="eastAsia"/>
                <w:color w:val="auto"/>
                <w:u w:val="none"/>
              </w:rPr>
              <w:tab/>
            </w:r>
            <w:r>
              <w:rPr>
                <w:rStyle w:val="af5"/>
                <w:rFonts w:ascii="宋体" w:eastAsia="宋体" w:hAnsi="宋体" w:cs="宋体" w:hint="eastAsia"/>
                <w:color w:val="auto"/>
                <w:u w:val="none"/>
              </w:rPr>
              <w:fldChar w:fldCharType="begin"/>
            </w:r>
            <w:r>
              <w:rPr>
                <w:rStyle w:val="af5"/>
                <w:rFonts w:ascii="宋体" w:eastAsia="宋体" w:hAnsi="宋体" w:cs="宋体" w:hint="eastAsia"/>
                <w:color w:val="auto"/>
                <w:u w:val="none"/>
              </w:rPr>
              <w:instrText xml:space="preserve"> PAGEREF _Toc180252808 \h </w:instrText>
            </w:r>
            <w:r>
              <w:rPr>
                <w:rStyle w:val="af5"/>
                <w:rFonts w:ascii="宋体" w:eastAsia="宋体" w:hAnsi="宋体" w:cs="宋体" w:hint="eastAsia"/>
                <w:color w:val="auto"/>
                <w:u w:val="none"/>
              </w:rPr>
            </w:r>
            <w:r>
              <w:rPr>
                <w:rStyle w:val="af5"/>
                <w:rFonts w:ascii="宋体" w:eastAsia="宋体" w:hAnsi="宋体" w:cs="宋体" w:hint="eastAsia"/>
                <w:color w:val="auto"/>
                <w:u w:val="none"/>
              </w:rPr>
              <w:fldChar w:fldCharType="separate"/>
            </w:r>
            <w:r>
              <w:rPr>
                <w:rStyle w:val="af5"/>
                <w:rFonts w:ascii="宋体" w:eastAsia="宋体" w:hAnsi="宋体" w:cs="宋体" w:hint="eastAsia"/>
                <w:color w:val="auto"/>
                <w:u w:val="none"/>
              </w:rPr>
              <w:t>2</w:t>
            </w:r>
            <w:r>
              <w:rPr>
                <w:rStyle w:val="af5"/>
                <w:rFonts w:ascii="宋体" w:eastAsia="宋体" w:hAnsi="宋体" w:cs="宋体" w:hint="eastAsia"/>
                <w:color w:val="auto"/>
                <w:u w:val="none"/>
              </w:rPr>
              <w:fldChar w:fldCharType="end"/>
            </w:r>
          </w:hyperlink>
        </w:p>
        <w:p w:rsidR="00B53BB1" w:rsidRDefault="00000000">
          <w:pPr>
            <w:pStyle w:val="TOC1"/>
            <w:spacing w:line="400" w:lineRule="exact"/>
            <w:ind w:firstLineChars="200" w:firstLine="420"/>
            <w:rPr>
              <w:rStyle w:val="af5"/>
              <w:rFonts w:ascii="宋体" w:eastAsia="宋体" w:hAnsi="宋体" w:cs="宋体" w:hint="eastAsia"/>
              <w:color w:val="auto"/>
              <w:u w:val="none"/>
            </w:rPr>
          </w:pPr>
          <w:hyperlink w:anchor="_Toc180252809" w:history="1">
            <w:r>
              <w:rPr>
                <w:rStyle w:val="af5"/>
                <w:rFonts w:ascii="宋体" w:eastAsia="宋体" w:hAnsi="宋体" w:cs="宋体" w:hint="eastAsia"/>
                <w:color w:val="auto"/>
                <w:u w:val="none"/>
              </w:rPr>
              <w:t>6.2  试剂</w:t>
            </w:r>
            <w:r>
              <w:rPr>
                <w:rStyle w:val="af5"/>
                <w:rFonts w:ascii="宋体" w:eastAsia="宋体" w:hAnsi="宋体" w:cs="宋体" w:hint="eastAsia"/>
                <w:color w:val="auto"/>
                <w:u w:val="none"/>
              </w:rPr>
              <w:tab/>
            </w:r>
            <w:r>
              <w:rPr>
                <w:rStyle w:val="af5"/>
                <w:rFonts w:ascii="宋体" w:eastAsia="宋体" w:hAnsi="宋体" w:cs="宋体" w:hint="eastAsia"/>
                <w:color w:val="auto"/>
                <w:u w:val="none"/>
              </w:rPr>
              <w:fldChar w:fldCharType="begin"/>
            </w:r>
            <w:r>
              <w:rPr>
                <w:rStyle w:val="af5"/>
                <w:rFonts w:ascii="宋体" w:eastAsia="宋体" w:hAnsi="宋体" w:cs="宋体" w:hint="eastAsia"/>
                <w:color w:val="auto"/>
                <w:u w:val="none"/>
              </w:rPr>
              <w:instrText xml:space="preserve"> PAGEREF _Toc180252809 \h </w:instrText>
            </w:r>
            <w:r>
              <w:rPr>
                <w:rStyle w:val="af5"/>
                <w:rFonts w:ascii="宋体" w:eastAsia="宋体" w:hAnsi="宋体" w:cs="宋体" w:hint="eastAsia"/>
                <w:color w:val="auto"/>
                <w:u w:val="none"/>
              </w:rPr>
            </w:r>
            <w:r>
              <w:rPr>
                <w:rStyle w:val="af5"/>
                <w:rFonts w:ascii="宋体" w:eastAsia="宋体" w:hAnsi="宋体" w:cs="宋体" w:hint="eastAsia"/>
                <w:color w:val="auto"/>
                <w:u w:val="none"/>
              </w:rPr>
              <w:fldChar w:fldCharType="separate"/>
            </w:r>
            <w:r>
              <w:rPr>
                <w:rStyle w:val="af5"/>
                <w:rFonts w:ascii="宋体" w:eastAsia="宋体" w:hAnsi="宋体" w:cs="宋体" w:hint="eastAsia"/>
                <w:color w:val="auto"/>
                <w:u w:val="none"/>
              </w:rPr>
              <w:t>3</w:t>
            </w:r>
            <w:r>
              <w:rPr>
                <w:rStyle w:val="af5"/>
                <w:rFonts w:ascii="宋体" w:eastAsia="宋体" w:hAnsi="宋体" w:cs="宋体" w:hint="eastAsia"/>
                <w:color w:val="auto"/>
                <w:u w:val="none"/>
              </w:rPr>
              <w:fldChar w:fldCharType="end"/>
            </w:r>
          </w:hyperlink>
        </w:p>
        <w:p w:rsidR="00B53BB1" w:rsidRDefault="00000000">
          <w:pPr>
            <w:pStyle w:val="TOC1"/>
            <w:spacing w:line="400" w:lineRule="exact"/>
            <w:ind w:firstLineChars="200" w:firstLine="420"/>
            <w:rPr>
              <w:rStyle w:val="af5"/>
              <w:rFonts w:ascii="宋体" w:eastAsia="宋体" w:hAnsi="宋体" w:cs="宋体" w:hint="eastAsia"/>
              <w:color w:val="auto"/>
              <w:u w:val="none"/>
            </w:rPr>
          </w:pPr>
          <w:hyperlink w:anchor="_Toc180252810" w:history="1">
            <w:r>
              <w:rPr>
                <w:rStyle w:val="af5"/>
                <w:rFonts w:ascii="宋体" w:eastAsia="宋体" w:hAnsi="宋体" w:cs="宋体" w:hint="eastAsia"/>
                <w:color w:val="auto"/>
                <w:u w:val="none"/>
              </w:rPr>
              <w:t>6.3  技术要求</w:t>
            </w:r>
            <w:r>
              <w:rPr>
                <w:rStyle w:val="af5"/>
                <w:rFonts w:ascii="宋体" w:eastAsia="宋体" w:hAnsi="宋体" w:cs="宋体" w:hint="eastAsia"/>
                <w:color w:val="auto"/>
                <w:u w:val="none"/>
              </w:rPr>
              <w:tab/>
            </w:r>
            <w:r>
              <w:rPr>
                <w:rStyle w:val="af5"/>
                <w:rFonts w:ascii="宋体" w:eastAsia="宋体" w:hAnsi="宋体" w:cs="宋体" w:hint="eastAsia"/>
                <w:color w:val="auto"/>
                <w:u w:val="none"/>
              </w:rPr>
              <w:fldChar w:fldCharType="begin"/>
            </w:r>
            <w:r>
              <w:rPr>
                <w:rStyle w:val="af5"/>
                <w:rFonts w:ascii="宋体" w:eastAsia="宋体" w:hAnsi="宋体" w:cs="宋体" w:hint="eastAsia"/>
                <w:color w:val="auto"/>
                <w:u w:val="none"/>
              </w:rPr>
              <w:instrText xml:space="preserve"> PAGEREF _Toc180252810 \h </w:instrText>
            </w:r>
            <w:r>
              <w:rPr>
                <w:rStyle w:val="af5"/>
                <w:rFonts w:ascii="宋体" w:eastAsia="宋体" w:hAnsi="宋体" w:cs="宋体" w:hint="eastAsia"/>
                <w:color w:val="auto"/>
                <w:u w:val="none"/>
              </w:rPr>
            </w:r>
            <w:r>
              <w:rPr>
                <w:rStyle w:val="af5"/>
                <w:rFonts w:ascii="宋体" w:eastAsia="宋体" w:hAnsi="宋体" w:cs="宋体" w:hint="eastAsia"/>
                <w:color w:val="auto"/>
                <w:u w:val="none"/>
              </w:rPr>
              <w:fldChar w:fldCharType="separate"/>
            </w:r>
            <w:r>
              <w:rPr>
                <w:rStyle w:val="af5"/>
                <w:rFonts w:ascii="宋体" w:eastAsia="宋体" w:hAnsi="宋体" w:cs="宋体" w:hint="eastAsia"/>
                <w:color w:val="auto"/>
                <w:u w:val="none"/>
              </w:rPr>
              <w:t>3</w:t>
            </w:r>
            <w:r>
              <w:rPr>
                <w:rStyle w:val="af5"/>
                <w:rFonts w:ascii="宋体" w:eastAsia="宋体" w:hAnsi="宋体" w:cs="宋体" w:hint="eastAsia"/>
                <w:color w:val="auto"/>
                <w:u w:val="none"/>
              </w:rPr>
              <w:fldChar w:fldCharType="end"/>
            </w:r>
          </w:hyperlink>
        </w:p>
        <w:p w:rsidR="00B53BB1" w:rsidRDefault="00000000">
          <w:pPr>
            <w:pStyle w:val="TOC1"/>
            <w:spacing w:line="400" w:lineRule="exact"/>
            <w:rPr>
              <w:rFonts w:ascii="宋体" w:eastAsia="宋体" w:hAnsi="宋体" w:cs="宋体" w:hint="eastAsia"/>
              <w:szCs w:val="22"/>
              <w14:ligatures w14:val="standardContextual"/>
            </w:rPr>
          </w:pPr>
          <w:hyperlink w:anchor="_Toc180252821" w:history="1">
            <w:r>
              <w:rPr>
                <w:rStyle w:val="af5"/>
                <w:rFonts w:ascii="宋体" w:eastAsia="宋体" w:hAnsi="宋体" w:cs="宋体" w:hint="eastAsia"/>
                <w:color w:val="auto"/>
                <w:u w:val="none"/>
              </w:rPr>
              <w:t>7  试验方法</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_Toc180252821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4</w:t>
            </w:r>
            <w:r>
              <w:rPr>
                <w:rFonts w:ascii="宋体" w:eastAsia="宋体" w:hAnsi="宋体" w:cs="宋体" w:hint="eastAsia"/>
              </w:rPr>
              <w:fldChar w:fldCharType="end"/>
            </w:r>
          </w:hyperlink>
        </w:p>
        <w:p w:rsidR="00B53BB1" w:rsidRDefault="00000000">
          <w:pPr>
            <w:pStyle w:val="TOC1"/>
            <w:spacing w:line="400" w:lineRule="exact"/>
            <w:ind w:firstLineChars="200" w:firstLine="420"/>
            <w:rPr>
              <w:rStyle w:val="af5"/>
              <w:rFonts w:ascii="宋体" w:eastAsia="宋体" w:hAnsi="宋体" w:cs="宋体" w:hint="eastAsia"/>
              <w:color w:val="auto"/>
              <w:u w:val="none"/>
            </w:rPr>
          </w:pPr>
          <w:hyperlink w:anchor="_Toc180252822" w:history="1">
            <w:r>
              <w:rPr>
                <w:rStyle w:val="af5"/>
                <w:rFonts w:ascii="宋体" w:eastAsia="宋体" w:hAnsi="宋体" w:cs="宋体" w:hint="eastAsia"/>
                <w:color w:val="auto"/>
                <w:u w:val="none"/>
              </w:rPr>
              <w:t>7.1  试验条件</w:t>
            </w:r>
            <w:r>
              <w:rPr>
                <w:rStyle w:val="af5"/>
                <w:rFonts w:ascii="宋体" w:eastAsia="宋体" w:hAnsi="宋体" w:cs="宋体" w:hint="eastAsia"/>
                <w:color w:val="auto"/>
                <w:u w:val="none"/>
              </w:rPr>
              <w:tab/>
            </w:r>
            <w:r>
              <w:rPr>
                <w:rStyle w:val="af5"/>
                <w:rFonts w:ascii="宋体" w:eastAsia="宋体" w:hAnsi="宋体" w:cs="宋体" w:hint="eastAsia"/>
                <w:color w:val="auto"/>
                <w:u w:val="none"/>
              </w:rPr>
              <w:fldChar w:fldCharType="begin"/>
            </w:r>
            <w:r>
              <w:rPr>
                <w:rStyle w:val="af5"/>
                <w:rFonts w:ascii="宋体" w:eastAsia="宋体" w:hAnsi="宋体" w:cs="宋体" w:hint="eastAsia"/>
                <w:color w:val="auto"/>
                <w:u w:val="none"/>
              </w:rPr>
              <w:instrText xml:space="preserve"> PAGEREF _Toc180252822 \h </w:instrText>
            </w:r>
            <w:r>
              <w:rPr>
                <w:rStyle w:val="af5"/>
                <w:rFonts w:ascii="宋体" w:eastAsia="宋体" w:hAnsi="宋体" w:cs="宋体" w:hint="eastAsia"/>
                <w:color w:val="auto"/>
                <w:u w:val="none"/>
              </w:rPr>
            </w:r>
            <w:r>
              <w:rPr>
                <w:rStyle w:val="af5"/>
                <w:rFonts w:ascii="宋体" w:eastAsia="宋体" w:hAnsi="宋体" w:cs="宋体" w:hint="eastAsia"/>
                <w:color w:val="auto"/>
                <w:u w:val="none"/>
              </w:rPr>
              <w:fldChar w:fldCharType="separate"/>
            </w:r>
            <w:r>
              <w:rPr>
                <w:rStyle w:val="af5"/>
                <w:rFonts w:ascii="宋体" w:eastAsia="宋体" w:hAnsi="宋体" w:cs="宋体" w:hint="eastAsia"/>
                <w:color w:val="auto"/>
                <w:u w:val="none"/>
              </w:rPr>
              <w:t>4</w:t>
            </w:r>
            <w:r>
              <w:rPr>
                <w:rStyle w:val="af5"/>
                <w:rFonts w:ascii="宋体" w:eastAsia="宋体" w:hAnsi="宋体" w:cs="宋体" w:hint="eastAsia"/>
                <w:color w:val="auto"/>
                <w:u w:val="none"/>
              </w:rPr>
              <w:fldChar w:fldCharType="end"/>
            </w:r>
          </w:hyperlink>
        </w:p>
        <w:p w:rsidR="00B53BB1" w:rsidRDefault="00000000">
          <w:pPr>
            <w:pStyle w:val="TOC1"/>
            <w:spacing w:line="400" w:lineRule="exact"/>
            <w:ind w:firstLineChars="200" w:firstLine="420"/>
            <w:rPr>
              <w:rStyle w:val="af5"/>
              <w:rFonts w:ascii="宋体" w:eastAsia="宋体" w:hAnsi="宋体" w:cs="宋体" w:hint="eastAsia"/>
              <w:color w:val="auto"/>
              <w:u w:val="none"/>
            </w:rPr>
          </w:pPr>
          <w:hyperlink w:anchor="_Toc180252825" w:history="1">
            <w:r>
              <w:rPr>
                <w:rStyle w:val="af5"/>
                <w:rFonts w:ascii="宋体" w:eastAsia="宋体" w:hAnsi="宋体" w:cs="宋体" w:hint="eastAsia"/>
                <w:color w:val="auto"/>
                <w:u w:val="none"/>
              </w:rPr>
              <w:t>7.2  试验方法</w:t>
            </w:r>
            <w:r>
              <w:rPr>
                <w:rStyle w:val="af5"/>
                <w:rFonts w:ascii="宋体" w:eastAsia="宋体" w:hAnsi="宋体" w:cs="宋体" w:hint="eastAsia"/>
                <w:color w:val="auto"/>
                <w:u w:val="none"/>
              </w:rPr>
              <w:tab/>
            </w:r>
            <w:r>
              <w:rPr>
                <w:rStyle w:val="af5"/>
                <w:rFonts w:ascii="宋体" w:eastAsia="宋体" w:hAnsi="宋体" w:cs="宋体" w:hint="eastAsia"/>
                <w:color w:val="auto"/>
                <w:u w:val="none"/>
              </w:rPr>
              <w:fldChar w:fldCharType="begin"/>
            </w:r>
            <w:r>
              <w:rPr>
                <w:rStyle w:val="af5"/>
                <w:rFonts w:ascii="宋体" w:eastAsia="宋体" w:hAnsi="宋体" w:cs="宋体" w:hint="eastAsia"/>
                <w:color w:val="auto"/>
                <w:u w:val="none"/>
              </w:rPr>
              <w:instrText xml:space="preserve"> PAGEREF _Toc180252825 \h </w:instrText>
            </w:r>
            <w:r>
              <w:rPr>
                <w:rStyle w:val="af5"/>
                <w:rFonts w:ascii="宋体" w:eastAsia="宋体" w:hAnsi="宋体" w:cs="宋体" w:hint="eastAsia"/>
                <w:color w:val="auto"/>
                <w:u w:val="none"/>
              </w:rPr>
            </w:r>
            <w:r>
              <w:rPr>
                <w:rStyle w:val="af5"/>
                <w:rFonts w:ascii="宋体" w:eastAsia="宋体" w:hAnsi="宋体" w:cs="宋体" w:hint="eastAsia"/>
                <w:color w:val="auto"/>
                <w:u w:val="none"/>
              </w:rPr>
              <w:fldChar w:fldCharType="separate"/>
            </w:r>
            <w:r>
              <w:rPr>
                <w:rStyle w:val="af5"/>
                <w:rFonts w:ascii="宋体" w:eastAsia="宋体" w:hAnsi="宋体" w:cs="宋体" w:hint="eastAsia"/>
                <w:color w:val="auto"/>
                <w:u w:val="none"/>
              </w:rPr>
              <w:t>4</w:t>
            </w:r>
            <w:r>
              <w:rPr>
                <w:rStyle w:val="af5"/>
                <w:rFonts w:ascii="宋体" w:eastAsia="宋体" w:hAnsi="宋体" w:cs="宋体" w:hint="eastAsia"/>
                <w:color w:val="auto"/>
                <w:u w:val="none"/>
              </w:rPr>
              <w:fldChar w:fldCharType="end"/>
            </w:r>
          </w:hyperlink>
        </w:p>
        <w:p w:rsidR="00B53BB1" w:rsidRDefault="00000000">
          <w:pPr>
            <w:pStyle w:val="TOC1"/>
            <w:spacing w:line="400" w:lineRule="exact"/>
            <w:rPr>
              <w:rFonts w:ascii="宋体" w:eastAsia="宋体" w:hAnsi="宋体" w:cs="宋体" w:hint="eastAsia"/>
              <w:szCs w:val="22"/>
              <w14:ligatures w14:val="standardContextual"/>
            </w:rPr>
          </w:pPr>
          <w:hyperlink w:anchor="_Toc180252835" w:history="1">
            <w:r>
              <w:rPr>
                <w:rStyle w:val="af5"/>
                <w:rFonts w:ascii="宋体" w:eastAsia="宋体" w:hAnsi="宋体" w:cs="宋体" w:hint="eastAsia"/>
                <w:color w:val="auto"/>
                <w:u w:val="none"/>
              </w:rPr>
              <w:t>8  检验规则</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_Toc180252835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6</w:t>
            </w:r>
            <w:r>
              <w:rPr>
                <w:rFonts w:ascii="宋体" w:eastAsia="宋体" w:hAnsi="宋体" w:cs="宋体" w:hint="eastAsia"/>
              </w:rPr>
              <w:fldChar w:fldCharType="end"/>
            </w:r>
          </w:hyperlink>
        </w:p>
        <w:p w:rsidR="00B53BB1" w:rsidRDefault="00000000">
          <w:pPr>
            <w:pStyle w:val="TOC1"/>
            <w:spacing w:line="400" w:lineRule="exact"/>
            <w:ind w:firstLineChars="200" w:firstLine="420"/>
            <w:rPr>
              <w:rStyle w:val="af5"/>
              <w:rFonts w:ascii="宋体" w:eastAsia="宋体" w:hAnsi="宋体" w:cs="宋体" w:hint="eastAsia"/>
              <w:color w:val="auto"/>
              <w:u w:val="none"/>
            </w:rPr>
          </w:pPr>
          <w:hyperlink w:anchor="_Toc180252836" w:history="1">
            <w:r>
              <w:rPr>
                <w:rStyle w:val="af5"/>
                <w:rFonts w:ascii="宋体" w:eastAsia="宋体" w:hAnsi="宋体" w:cs="宋体" w:hint="eastAsia"/>
                <w:color w:val="auto"/>
                <w:u w:val="none"/>
              </w:rPr>
              <w:t>8.1  出厂检验</w:t>
            </w:r>
            <w:r>
              <w:rPr>
                <w:rStyle w:val="af5"/>
                <w:rFonts w:ascii="宋体" w:eastAsia="宋体" w:hAnsi="宋体" w:cs="宋体" w:hint="eastAsia"/>
                <w:color w:val="auto"/>
                <w:u w:val="none"/>
              </w:rPr>
              <w:tab/>
            </w:r>
            <w:r>
              <w:rPr>
                <w:rStyle w:val="af5"/>
                <w:rFonts w:ascii="宋体" w:eastAsia="宋体" w:hAnsi="宋体" w:cs="宋体" w:hint="eastAsia"/>
                <w:color w:val="auto"/>
                <w:u w:val="none"/>
              </w:rPr>
              <w:fldChar w:fldCharType="begin"/>
            </w:r>
            <w:r>
              <w:rPr>
                <w:rStyle w:val="af5"/>
                <w:rFonts w:ascii="宋体" w:eastAsia="宋体" w:hAnsi="宋体" w:cs="宋体" w:hint="eastAsia"/>
                <w:color w:val="auto"/>
                <w:u w:val="none"/>
              </w:rPr>
              <w:instrText xml:space="preserve"> PAGEREF _Toc180252836 \h </w:instrText>
            </w:r>
            <w:r>
              <w:rPr>
                <w:rStyle w:val="af5"/>
                <w:rFonts w:ascii="宋体" w:eastAsia="宋体" w:hAnsi="宋体" w:cs="宋体" w:hint="eastAsia"/>
                <w:color w:val="auto"/>
                <w:u w:val="none"/>
              </w:rPr>
            </w:r>
            <w:r>
              <w:rPr>
                <w:rStyle w:val="af5"/>
                <w:rFonts w:ascii="宋体" w:eastAsia="宋体" w:hAnsi="宋体" w:cs="宋体" w:hint="eastAsia"/>
                <w:color w:val="auto"/>
                <w:u w:val="none"/>
              </w:rPr>
              <w:fldChar w:fldCharType="separate"/>
            </w:r>
            <w:r>
              <w:rPr>
                <w:rStyle w:val="af5"/>
                <w:rFonts w:ascii="宋体" w:eastAsia="宋体" w:hAnsi="宋体" w:cs="宋体" w:hint="eastAsia"/>
                <w:color w:val="auto"/>
                <w:u w:val="none"/>
              </w:rPr>
              <w:t>6</w:t>
            </w:r>
            <w:r>
              <w:rPr>
                <w:rStyle w:val="af5"/>
                <w:rFonts w:ascii="宋体" w:eastAsia="宋体" w:hAnsi="宋体" w:cs="宋体" w:hint="eastAsia"/>
                <w:color w:val="auto"/>
                <w:u w:val="none"/>
              </w:rPr>
              <w:fldChar w:fldCharType="end"/>
            </w:r>
          </w:hyperlink>
        </w:p>
        <w:p w:rsidR="00B53BB1" w:rsidRDefault="00000000">
          <w:pPr>
            <w:pStyle w:val="TOC1"/>
            <w:spacing w:line="400" w:lineRule="exact"/>
            <w:ind w:firstLineChars="200" w:firstLine="420"/>
            <w:rPr>
              <w:rStyle w:val="af5"/>
              <w:rFonts w:ascii="宋体" w:eastAsia="宋体" w:hAnsi="宋体" w:cs="宋体" w:hint="eastAsia"/>
              <w:color w:val="auto"/>
              <w:u w:val="none"/>
            </w:rPr>
          </w:pPr>
          <w:hyperlink w:anchor="_Toc180252837" w:history="1">
            <w:r>
              <w:rPr>
                <w:rStyle w:val="af5"/>
                <w:rFonts w:ascii="宋体" w:eastAsia="宋体" w:hAnsi="宋体" w:cs="宋体" w:hint="eastAsia"/>
                <w:color w:val="auto"/>
                <w:u w:val="none"/>
              </w:rPr>
              <w:t>8.2  型式检验</w:t>
            </w:r>
            <w:r>
              <w:rPr>
                <w:rStyle w:val="af5"/>
                <w:rFonts w:ascii="宋体" w:eastAsia="宋体" w:hAnsi="宋体" w:cs="宋体" w:hint="eastAsia"/>
                <w:color w:val="auto"/>
                <w:u w:val="none"/>
              </w:rPr>
              <w:tab/>
            </w:r>
            <w:r>
              <w:rPr>
                <w:rStyle w:val="af5"/>
                <w:rFonts w:ascii="宋体" w:eastAsia="宋体" w:hAnsi="宋体" w:cs="宋体" w:hint="eastAsia"/>
                <w:color w:val="auto"/>
                <w:u w:val="none"/>
              </w:rPr>
              <w:fldChar w:fldCharType="begin"/>
            </w:r>
            <w:r>
              <w:rPr>
                <w:rStyle w:val="af5"/>
                <w:rFonts w:ascii="宋体" w:eastAsia="宋体" w:hAnsi="宋体" w:cs="宋体" w:hint="eastAsia"/>
                <w:color w:val="auto"/>
                <w:u w:val="none"/>
              </w:rPr>
              <w:instrText xml:space="preserve"> PAGEREF _Toc180252837 \h </w:instrText>
            </w:r>
            <w:r>
              <w:rPr>
                <w:rStyle w:val="af5"/>
                <w:rFonts w:ascii="宋体" w:eastAsia="宋体" w:hAnsi="宋体" w:cs="宋体" w:hint="eastAsia"/>
                <w:color w:val="auto"/>
                <w:u w:val="none"/>
              </w:rPr>
            </w:r>
            <w:r>
              <w:rPr>
                <w:rStyle w:val="af5"/>
                <w:rFonts w:ascii="宋体" w:eastAsia="宋体" w:hAnsi="宋体" w:cs="宋体" w:hint="eastAsia"/>
                <w:color w:val="auto"/>
                <w:u w:val="none"/>
              </w:rPr>
              <w:fldChar w:fldCharType="separate"/>
            </w:r>
            <w:r>
              <w:rPr>
                <w:rStyle w:val="af5"/>
                <w:rFonts w:ascii="宋体" w:eastAsia="宋体" w:hAnsi="宋体" w:cs="宋体" w:hint="eastAsia"/>
                <w:color w:val="auto"/>
                <w:u w:val="none"/>
              </w:rPr>
              <w:t>6</w:t>
            </w:r>
            <w:r>
              <w:rPr>
                <w:rStyle w:val="af5"/>
                <w:rFonts w:ascii="宋体" w:eastAsia="宋体" w:hAnsi="宋体" w:cs="宋体" w:hint="eastAsia"/>
                <w:color w:val="auto"/>
                <w:u w:val="none"/>
              </w:rPr>
              <w:fldChar w:fldCharType="end"/>
            </w:r>
          </w:hyperlink>
        </w:p>
        <w:p w:rsidR="00B53BB1" w:rsidRDefault="00000000">
          <w:pPr>
            <w:pStyle w:val="TOC1"/>
            <w:spacing w:line="400" w:lineRule="exact"/>
            <w:ind w:firstLineChars="200" w:firstLine="420"/>
            <w:rPr>
              <w:rStyle w:val="af5"/>
              <w:rFonts w:ascii="宋体" w:eastAsia="宋体" w:hAnsi="宋体" w:cs="宋体" w:hint="eastAsia"/>
              <w:color w:val="auto"/>
              <w:u w:val="none"/>
            </w:rPr>
          </w:pPr>
          <w:hyperlink w:anchor="_Toc180252840" w:history="1">
            <w:r>
              <w:rPr>
                <w:rStyle w:val="af5"/>
                <w:rFonts w:ascii="宋体" w:eastAsia="宋体" w:hAnsi="宋体" w:cs="宋体" w:hint="eastAsia"/>
                <w:color w:val="auto"/>
                <w:u w:val="none"/>
              </w:rPr>
              <w:t>8.3  维护检验</w:t>
            </w:r>
            <w:r>
              <w:rPr>
                <w:rStyle w:val="af5"/>
                <w:rFonts w:ascii="宋体" w:eastAsia="宋体" w:hAnsi="宋体" w:cs="宋体" w:hint="eastAsia"/>
                <w:color w:val="auto"/>
                <w:u w:val="none"/>
              </w:rPr>
              <w:tab/>
            </w:r>
            <w:r>
              <w:rPr>
                <w:rStyle w:val="af5"/>
                <w:rFonts w:ascii="宋体" w:eastAsia="宋体" w:hAnsi="宋体" w:cs="宋体" w:hint="eastAsia"/>
                <w:color w:val="auto"/>
                <w:u w:val="none"/>
              </w:rPr>
              <w:fldChar w:fldCharType="begin"/>
            </w:r>
            <w:r>
              <w:rPr>
                <w:rStyle w:val="af5"/>
                <w:rFonts w:ascii="宋体" w:eastAsia="宋体" w:hAnsi="宋体" w:cs="宋体" w:hint="eastAsia"/>
                <w:color w:val="auto"/>
                <w:u w:val="none"/>
              </w:rPr>
              <w:instrText xml:space="preserve"> PAGEREF _Toc180252840 \h </w:instrText>
            </w:r>
            <w:r>
              <w:rPr>
                <w:rStyle w:val="af5"/>
                <w:rFonts w:ascii="宋体" w:eastAsia="宋体" w:hAnsi="宋体" w:cs="宋体" w:hint="eastAsia"/>
                <w:color w:val="auto"/>
                <w:u w:val="none"/>
              </w:rPr>
            </w:r>
            <w:r>
              <w:rPr>
                <w:rStyle w:val="af5"/>
                <w:rFonts w:ascii="宋体" w:eastAsia="宋体" w:hAnsi="宋体" w:cs="宋体" w:hint="eastAsia"/>
                <w:color w:val="auto"/>
                <w:u w:val="none"/>
              </w:rPr>
              <w:fldChar w:fldCharType="separate"/>
            </w:r>
            <w:r>
              <w:rPr>
                <w:rStyle w:val="af5"/>
                <w:rFonts w:ascii="宋体" w:eastAsia="宋体" w:hAnsi="宋体" w:cs="宋体" w:hint="eastAsia"/>
                <w:color w:val="auto"/>
                <w:u w:val="none"/>
              </w:rPr>
              <w:t>6</w:t>
            </w:r>
            <w:r>
              <w:rPr>
                <w:rStyle w:val="af5"/>
                <w:rFonts w:ascii="宋体" w:eastAsia="宋体" w:hAnsi="宋体" w:cs="宋体" w:hint="eastAsia"/>
                <w:color w:val="auto"/>
                <w:u w:val="none"/>
              </w:rPr>
              <w:fldChar w:fldCharType="end"/>
            </w:r>
          </w:hyperlink>
        </w:p>
        <w:p w:rsidR="00B53BB1" w:rsidRDefault="00000000">
          <w:pPr>
            <w:pStyle w:val="TOC1"/>
            <w:spacing w:line="400" w:lineRule="exact"/>
            <w:rPr>
              <w:rFonts w:ascii="宋体" w:eastAsia="宋体" w:hAnsi="宋体" w:cs="宋体" w:hint="eastAsia"/>
              <w:szCs w:val="22"/>
              <w14:ligatures w14:val="standardContextual"/>
            </w:rPr>
          </w:pPr>
          <w:hyperlink w:anchor="_Toc180252841" w:history="1">
            <w:r>
              <w:rPr>
                <w:rStyle w:val="af5"/>
                <w:rFonts w:ascii="宋体" w:eastAsia="宋体" w:hAnsi="宋体" w:cs="宋体" w:hint="eastAsia"/>
                <w:color w:val="auto"/>
                <w:u w:val="none"/>
              </w:rPr>
              <w:t>9  标志和包装</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_Toc180252841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6</w:t>
            </w:r>
            <w:r>
              <w:rPr>
                <w:rFonts w:ascii="宋体" w:eastAsia="宋体" w:hAnsi="宋体" w:cs="宋体" w:hint="eastAsia"/>
              </w:rPr>
              <w:fldChar w:fldCharType="end"/>
            </w:r>
          </w:hyperlink>
        </w:p>
        <w:p w:rsidR="00B53BB1" w:rsidRDefault="00000000">
          <w:pPr>
            <w:pStyle w:val="TOC1"/>
            <w:spacing w:line="400" w:lineRule="exact"/>
            <w:ind w:firstLineChars="200" w:firstLine="420"/>
            <w:rPr>
              <w:rStyle w:val="af5"/>
              <w:rFonts w:ascii="宋体" w:eastAsia="宋体" w:hAnsi="宋体" w:cs="宋体" w:hint="eastAsia"/>
              <w:color w:val="auto"/>
              <w:u w:val="none"/>
            </w:rPr>
          </w:pPr>
          <w:hyperlink w:anchor="_Toc180252842" w:history="1">
            <w:r>
              <w:rPr>
                <w:rStyle w:val="af5"/>
                <w:rFonts w:ascii="宋体" w:eastAsia="宋体" w:hAnsi="宋体" w:cs="宋体" w:hint="eastAsia"/>
                <w:color w:val="auto"/>
                <w:u w:val="none"/>
              </w:rPr>
              <w:t>9.1  标志</w:t>
            </w:r>
            <w:r>
              <w:rPr>
                <w:rStyle w:val="af5"/>
                <w:rFonts w:ascii="宋体" w:eastAsia="宋体" w:hAnsi="宋体" w:cs="宋体" w:hint="eastAsia"/>
                <w:color w:val="auto"/>
                <w:u w:val="none"/>
              </w:rPr>
              <w:tab/>
            </w:r>
            <w:r>
              <w:rPr>
                <w:rStyle w:val="af5"/>
                <w:rFonts w:ascii="宋体" w:eastAsia="宋体" w:hAnsi="宋体" w:cs="宋体" w:hint="eastAsia"/>
                <w:color w:val="auto"/>
                <w:u w:val="none"/>
              </w:rPr>
              <w:fldChar w:fldCharType="begin"/>
            </w:r>
            <w:r>
              <w:rPr>
                <w:rStyle w:val="af5"/>
                <w:rFonts w:ascii="宋体" w:eastAsia="宋体" w:hAnsi="宋体" w:cs="宋体" w:hint="eastAsia"/>
                <w:color w:val="auto"/>
                <w:u w:val="none"/>
              </w:rPr>
              <w:instrText xml:space="preserve"> PAGEREF _Toc180252842 \h </w:instrText>
            </w:r>
            <w:r>
              <w:rPr>
                <w:rStyle w:val="af5"/>
                <w:rFonts w:ascii="宋体" w:eastAsia="宋体" w:hAnsi="宋体" w:cs="宋体" w:hint="eastAsia"/>
                <w:color w:val="auto"/>
                <w:u w:val="none"/>
              </w:rPr>
            </w:r>
            <w:r>
              <w:rPr>
                <w:rStyle w:val="af5"/>
                <w:rFonts w:ascii="宋体" w:eastAsia="宋体" w:hAnsi="宋体" w:cs="宋体" w:hint="eastAsia"/>
                <w:color w:val="auto"/>
                <w:u w:val="none"/>
              </w:rPr>
              <w:fldChar w:fldCharType="separate"/>
            </w:r>
            <w:r>
              <w:rPr>
                <w:rStyle w:val="af5"/>
                <w:rFonts w:ascii="宋体" w:eastAsia="宋体" w:hAnsi="宋体" w:cs="宋体" w:hint="eastAsia"/>
                <w:color w:val="auto"/>
                <w:u w:val="none"/>
              </w:rPr>
              <w:t>6</w:t>
            </w:r>
            <w:r>
              <w:rPr>
                <w:rStyle w:val="af5"/>
                <w:rFonts w:ascii="宋体" w:eastAsia="宋体" w:hAnsi="宋体" w:cs="宋体" w:hint="eastAsia"/>
                <w:color w:val="auto"/>
                <w:u w:val="none"/>
              </w:rPr>
              <w:fldChar w:fldCharType="end"/>
            </w:r>
          </w:hyperlink>
        </w:p>
        <w:p w:rsidR="00B53BB1" w:rsidRDefault="00000000">
          <w:pPr>
            <w:pStyle w:val="TOC1"/>
            <w:spacing w:line="400" w:lineRule="exact"/>
            <w:ind w:firstLineChars="200" w:firstLine="420"/>
            <w:rPr>
              <w:rStyle w:val="af5"/>
              <w:rFonts w:ascii="宋体" w:eastAsia="宋体" w:hAnsi="宋体" w:cs="宋体" w:hint="eastAsia"/>
              <w:color w:val="auto"/>
              <w:u w:val="none"/>
            </w:rPr>
          </w:pPr>
          <w:hyperlink w:anchor="_Toc180252845" w:history="1">
            <w:r>
              <w:rPr>
                <w:rStyle w:val="af5"/>
                <w:rFonts w:ascii="宋体" w:eastAsia="宋体" w:hAnsi="宋体" w:cs="宋体" w:hint="eastAsia"/>
                <w:color w:val="auto"/>
                <w:u w:val="none"/>
              </w:rPr>
              <w:t>9.2  包装</w:t>
            </w:r>
            <w:r>
              <w:rPr>
                <w:rStyle w:val="af5"/>
                <w:rFonts w:ascii="宋体" w:eastAsia="宋体" w:hAnsi="宋体" w:cs="宋体" w:hint="eastAsia"/>
                <w:color w:val="auto"/>
                <w:u w:val="none"/>
              </w:rPr>
              <w:tab/>
            </w:r>
            <w:r>
              <w:rPr>
                <w:rStyle w:val="af5"/>
                <w:rFonts w:ascii="宋体" w:eastAsia="宋体" w:hAnsi="宋体" w:cs="宋体" w:hint="eastAsia"/>
                <w:color w:val="auto"/>
                <w:u w:val="none"/>
              </w:rPr>
              <w:fldChar w:fldCharType="begin"/>
            </w:r>
            <w:r>
              <w:rPr>
                <w:rStyle w:val="af5"/>
                <w:rFonts w:ascii="宋体" w:eastAsia="宋体" w:hAnsi="宋体" w:cs="宋体" w:hint="eastAsia"/>
                <w:color w:val="auto"/>
                <w:u w:val="none"/>
              </w:rPr>
              <w:instrText xml:space="preserve"> PAGEREF _Toc180252845 \h </w:instrText>
            </w:r>
            <w:r>
              <w:rPr>
                <w:rStyle w:val="af5"/>
                <w:rFonts w:ascii="宋体" w:eastAsia="宋体" w:hAnsi="宋体" w:cs="宋体" w:hint="eastAsia"/>
                <w:color w:val="auto"/>
                <w:u w:val="none"/>
              </w:rPr>
            </w:r>
            <w:r>
              <w:rPr>
                <w:rStyle w:val="af5"/>
                <w:rFonts w:ascii="宋体" w:eastAsia="宋体" w:hAnsi="宋体" w:cs="宋体" w:hint="eastAsia"/>
                <w:color w:val="auto"/>
                <w:u w:val="none"/>
              </w:rPr>
              <w:fldChar w:fldCharType="separate"/>
            </w:r>
            <w:r>
              <w:rPr>
                <w:rStyle w:val="af5"/>
                <w:rFonts w:ascii="宋体" w:eastAsia="宋体" w:hAnsi="宋体" w:cs="宋体" w:hint="eastAsia"/>
                <w:color w:val="auto"/>
                <w:u w:val="none"/>
              </w:rPr>
              <w:t>7</w:t>
            </w:r>
            <w:r>
              <w:rPr>
                <w:rStyle w:val="af5"/>
                <w:rFonts w:ascii="宋体" w:eastAsia="宋体" w:hAnsi="宋体" w:cs="宋体" w:hint="eastAsia"/>
                <w:color w:val="auto"/>
                <w:u w:val="none"/>
              </w:rPr>
              <w:fldChar w:fldCharType="end"/>
            </w:r>
          </w:hyperlink>
        </w:p>
        <w:p w:rsidR="00B53BB1" w:rsidRDefault="00000000">
          <w:pPr>
            <w:pStyle w:val="TOC1"/>
            <w:spacing w:line="400" w:lineRule="exact"/>
            <w:rPr>
              <w:rFonts w:ascii="宋体" w:eastAsia="宋体" w:hAnsi="宋体" w:cs="宋体" w:hint="eastAsia"/>
              <w:szCs w:val="22"/>
              <w14:ligatures w14:val="standardContextual"/>
            </w:rPr>
          </w:pPr>
          <w:hyperlink w:anchor="_Toc180252848" w:history="1">
            <w:r>
              <w:rPr>
                <w:rStyle w:val="af5"/>
                <w:rFonts w:ascii="宋体" w:eastAsia="宋体" w:hAnsi="宋体" w:cs="宋体" w:hint="eastAsia"/>
                <w:color w:val="auto"/>
                <w:u w:val="none"/>
              </w:rPr>
              <w:t>10  运输和保存</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_Toc180252848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7</w:t>
            </w:r>
            <w:r>
              <w:rPr>
                <w:rFonts w:ascii="宋体" w:eastAsia="宋体" w:hAnsi="宋体" w:cs="宋体" w:hint="eastAsia"/>
              </w:rPr>
              <w:fldChar w:fldCharType="end"/>
            </w:r>
          </w:hyperlink>
        </w:p>
        <w:p w:rsidR="00B53BB1" w:rsidRDefault="00000000">
          <w:pPr>
            <w:pStyle w:val="TOC1"/>
            <w:spacing w:line="400" w:lineRule="exact"/>
            <w:ind w:firstLineChars="200" w:firstLine="420"/>
            <w:rPr>
              <w:rStyle w:val="af5"/>
              <w:rFonts w:ascii="宋体" w:eastAsia="宋体" w:hAnsi="宋体" w:cs="宋体" w:hint="eastAsia"/>
              <w:color w:val="auto"/>
              <w:u w:val="none"/>
            </w:rPr>
          </w:pPr>
          <w:hyperlink w:anchor="_Toc180252849" w:history="1">
            <w:r>
              <w:rPr>
                <w:rStyle w:val="af5"/>
                <w:rFonts w:ascii="宋体" w:eastAsia="宋体" w:hAnsi="宋体" w:cs="宋体" w:hint="eastAsia"/>
                <w:color w:val="auto"/>
                <w:u w:val="none"/>
              </w:rPr>
              <w:t>10.1  运输</w:t>
            </w:r>
            <w:r>
              <w:rPr>
                <w:rStyle w:val="af5"/>
                <w:rFonts w:ascii="宋体" w:eastAsia="宋体" w:hAnsi="宋体" w:cs="宋体" w:hint="eastAsia"/>
                <w:color w:val="auto"/>
                <w:u w:val="none"/>
              </w:rPr>
              <w:tab/>
            </w:r>
            <w:r>
              <w:rPr>
                <w:rStyle w:val="af5"/>
                <w:rFonts w:ascii="宋体" w:eastAsia="宋体" w:hAnsi="宋体" w:cs="宋体" w:hint="eastAsia"/>
                <w:color w:val="auto"/>
                <w:u w:val="none"/>
              </w:rPr>
              <w:fldChar w:fldCharType="begin"/>
            </w:r>
            <w:r>
              <w:rPr>
                <w:rStyle w:val="af5"/>
                <w:rFonts w:ascii="宋体" w:eastAsia="宋体" w:hAnsi="宋体" w:cs="宋体" w:hint="eastAsia"/>
                <w:color w:val="auto"/>
                <w:u w:val="none"/>
              </w:rPr>
              <w:instrText xml:space="preserve"> PAGEREF _Toc180252849 \h </w:instrText>
            </w:r>
            <w:r>
              <w:rPr>
                <w:rStyle w:val="af5"/>
                <w:rFonts w:ascii="宋体" w:eastAsia="宋体" w:hAnsi="宋体" w:cs="宋体" w:hint="eastAsia"/>
                <w:color w:val="auto"/>
                <w:u w:val="none"/>
              </w:rPr>
            </w:r>
            <w:r>
              <w:rPr>
                <w:rStyle w:val="af5"/>
                <w:rFonts w:ascii="宋体" w:eastAsia="宋体" w:hAnsi="宋体" w:cs="宋体" w:hint="eastAsia"/>
                <w:color w:val="auto"/>
                <w:u w:val="none"/>
              </w:rPr>
              <w:fldChar w:fldCharType="separate"/>
            </w:r>
            <w:r>
              <w:rPr>
                <w:rStyle w:val="af5"/>
                <w:rFonts w:ascii="宋体" w:eastAsia="宋体" w:hAnsi="宋体" w:cs="宋体" w:hint="eastAsia"/>
                <w:color w:val="auto"/>
                <w:u w:val="none"/>
              </w:rPr>
              <w:t>7</w:t>
            </w:r>
            <w:r>
              <w:rPr>
                <w:rStyle w:val="af5"/>
                <w:rFonts w:ascii="宋体" w:eastAsia="宋体" w:hAnsi="宋体" w:cs="宋体" w:hint="eastAsia"/>
                <w:color w:val="auto"/>
                <w:u w:val="none"/>
              </w:rPr>
              <w:fldChar w:fldCharType="end"/>
            </w:r>
          </w:hyperlink>
        </w:p>
        <w:p w:rsidR="00B53BB1" w:rsidRDefault="00000000">
          <w:pPr>
            <w:pStyle w:val="TOC1"/>
            <w:spacing w:line="400" w:lineRule="exact"/>
            <w:ind w:firstLineChars="200" w:firstLine="420"/>
            <w:rPr>
              <w:rStyle w:val="af5"/>
              <w:rFonts w:ascii="宋体" w:eastAsia="宋体" w:hAnsi="宋体" w:cs="宋体" w:hint="eastAsia"/>
              <w:color w:val="auto"/>
              <w:u w:val="none"/>
            </w:rPr>
          </w:pPr>
          <w:hyperlink w:anchor="_Toc180252850" w:history="1">
            <w:r>
              <w:rPr>
                <w:rStyle w:val="af5"/>
                <w:rFonts w:ascii="宋体" w:eastAsia="宋体" w:hAnsi="宋体" w:cs="宋体" w:hint="eastAsia"/>
                <w:color w:val="auto"/>
                <w:u w:val="none"/>
              </w:rPr>
              <w:t>10.2  保存</w:t>
            </w:r>
            <w:r>
              <w:rPr>
                <w:rStyle w:val="af5"/>
                <w:rFonts w:ascii="宋体" w:eastAsia="宋体" w:hAnsi="宋体" w:cs="宋体" w:hint="eastAsia"/>
                <w:color w:val="auto"/>
                <w:u w:val="none"/>
              </w:rPr>
              <w:tab/>
            </w:r>
            <w:r>
              <w:rPr>
                <w:rStyle w:val="af5"/>
                <w:rFonts w:ascii="宋体" w:eastAsia="宋体" w:hAnsi="宋体" w:cs="宋体" w:hint="eastAsia"/>
                <w:color w:val="auto"/>
                <w:u w:val="none"/>
              </w:rPr>
              <w:fldChar w:fldCharType="begin"/>
            </w:r>
            <w:r>
              <w:rPr>
                <w:rStyle w:val="af5"/>
                <w:rFonts w:ascii="宋体" w:eastAsia="宋体" w:hAnsi="宋体" w:cs="宋体" w:hint="eastAsia"/>
                <w:color w:val="auto"/>
                <w:u w:val="none"/>
              </w:rPr>
              <w:instrText xml:space="preserve"> PAGEREF _Toc180252850 \h </w:instrText>
            </w:r>
            <w:r>
              <w:rPr>
                <w:rStyle w:val="af5"/>
                <w:rFonts w:ascii="宋体" w:eastAsia="宋体" w:hAnsi="宋体" w:cs="宋体" w:hint="eastAsia"/>
                <w:color w:val="auto"/>
                <w:u w:val="none"/>
              </w:rPr>
            </w:r>
            <w:r>
              <w:rPr>
                <w:rStyle w:val="af5"/>
                <w:rFonts w:ascii="宋体" w:eastAsia="宋体" w:hAnsi="宋体" w:cs="宋体" w:hint="eastAsia"/>
                <w:color w:val="auto"/>
                <w:u w:val="none"/>
              </w:rPr>
              <w:fldChar w:fldCharType="separate"/>
            </w:r>
            <w:r>
              <w:rPr>
                <w:rStyle w:val="af5"/>
                <w:rFonts w:ascii="宋体" w:eastAsia="宋体" w:hAnsi="宋体" w:cs="宋体" w:hint="eastAsia"/>
                <w:color w:val="auto"/>
                <w:u w:val="none"/>
              </w:rPr>
              <w:t>7</w:t>
            </w:r>
            <w:r>
              <w:rPr>
                <w:rStyle w:val="af5"/>
                <w:rFonts w:ascii="宋体" w:eastAsia="宋体" w:hAnsi="宋体" w:cs="宋体" w:hint="eastAsia"/>
                <w:color w:val="auto"/>
                <w:u w:val="none"/>
              </w:rPr>
              <w:fldChar w:fldCharType="end"/>
            </w:r>
          </w:hyperlink>
        </w:p>
        <w:p w:rsidR="00B53BB1" w:rsidRDefault="00000000">
          <w:pPr>
            <w:pStyle w:val="TOC1"/>
            <w:spacing w:line="400" w:lineRule="exact"/>
            <w:rPr>
              <w:rFonts w:ascii="宋体" w:eastAsia="宋体" w:hAnsi="宋体" w:cs="宋体" w:hint="eastAsia"/>
              <w:szCs w:val="22"/>
              <w14:ligatures w14:val="standardContextual"/>
            </w:rPr>
          </w:pPr>
          <w:hyperlink w:anchor="_Toc180252851" w:history="1">
            <w:r>
              <w:rPr>
                <w:rStyle w:val="af5"/>
                <w:rFonts w:ascii="宋体" w:eastAsia="宋体" w:hAnsi="宋体" w:cs="宋体" w:hint="eastAsia"/>
                <w:color w:val="auto"/>
                <w:u w:val="none"/>
              </w:rPr>
              <w:t>附录A（资料性）  标准溶液配制方法</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_Toc180252851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8</w:t>
            </w:r>
            <w:r>
              <w:rPr>
                <w:rFonts w:ascii="宋体" w:eastAsia="宋体" w:hAnsi="宋体" w:cs="宋体" w:hint="eastAsia"/>
              </w:rPr>
              <w:fldChar w:fldCharType="end"/>
            </w:r>
          </w:hyperlink>
        </w:p>
        <w:p w:rsidR="00B53BB1" w:rsidRDefault="00000000">
          <w:pPr>
            <w:pStyle w:val="TOC1"/>
            <w:spacing w:line="400" w:lineRule="exact"/>
            <w:rPr>
              <w:rFonts w:ascii="宋体" w:eastAsia="宋体" w:hAnsi="宋体" w:cs="宋体" w:hint="eastAsia"/>
              <w:szCs w:val="22"/>
              <w14:ligatures w14:val="standardContextual"/>
            </w:rPr>
          </w:pPr>
          <w:hyperlink w:anchor="_Toc180252852" w:history="1">
            <w:r>
              <w:rPr>
                <w:rStyle w:val="af5"/>
                <w:rFonts w:ascii="宋体" w:eastAsia="宋体" w:hAnsi="宋体" w:cs="宋体" w:hint="eastAsia"/>
                <w:color w:val="auto"/>
                <w:u w:val="none"/>
              </w:rPr>
              <w:t>参考文献</w:t>
            </w:r>
            <w:r>
              <w:rPr>
                <w:rFonts w:ascii="宋体" w:eastAsia="宋体" w:hAnsi="宋体" w:cs="宋体" w:hint="eastAsia"/>
              </w:rPr>
              <w:tab/>
            </w:r>
            <w:r>
              <w:rPr>
                <w:rFonts w:ascii="宋体" w:eastAsia="宋体" w:hAnsi="宋体" w:cs="宋体" w:hint="eastAsia"/>
              </w:rPr>
              <w:fldChar w:fldCharType="begin"/>
            </w:r>
            <w:r>
              <w:rPr>
                <w:rFonts w:ascii="宋体" w:eastAsia="宋体" w:hAnsi="宋体" w:cs="宋体" w:hint="eastAsia"/>
              </w:rPr>
              <w:instrText xml:space="preserve"> PAGEREF _Toc180252852 \h </w:instrText>
            </w:r>
            <w:r>
              <w:rPr>
                <w:rFonts w:ascii="宋体" w:eastAsia="宋体" w:hAnsi="宋体" w:cs="宋体" w:hint="eastAsia"/>
              </w:rPr>
            </w:r>
            <w:r>
              <w:rPr>
                <w:rFonts w:ascii="宋体" w:eastAsia="宋体" w:hAnsi="宋体" w:cs="宋体" w:hint="eastAsia"/>
              </w:rPr>
              <w:fldChar w:fldCharType="separate"/>
            </w:r>
            <w:r>
              <w:rPr>
                <w:rFonts w:ascii="宋体" w:eastAsia="宋体" w:hAnsi="宋体" w:cs="宋体" w:hint="eastAsia"/>
              </w:rPr>
              <w:t>9</w:t>
            </w:r>
            <w:r>
              <w:rPr>
                <w:rFonts w:ascii="宋体" w:eastAsia="宋体" w:hAnsi="宋体" w:cs="宋体" w:hint="eastAsia"/>
              </w:rPr>
              <w:fldChar w:fldCharType="end"/>
            </w:r>
          </w:hyperlink>
        </w:p>
        <w:p w:rsidR="00B53BB1" w:rsidRDefault="00000000">
          <w:pPr>
            <w:pStyle w:val="TOC2"/>
            <w:rPr>
              <w:rFonts w:hint="eastAsia"/>
            </w:rPr>
          </w:pPr>
          <w:r>
            <w:rPr>
              <w:rFonts w:hint="eastAsia"/>
            </w:rPr>
            <w:fldChar w:fldCharType="end"/>
          </w:r>
        </w:p>
      </w:sdtContent>
    </w:sdt>
    <w:p w:rsidR="00B53BB1" w:rsidRDefault="00B53BB1">
      <w:pPr>
        <w:jc w:val="center"/>
        <w:rPr>
          <w:rFonts w:ascii="宋体" w:eastAsia="宋体" w:hAnsi="宋体" w:cs="宋体" w:hint="eastAsia"/>
          <w:szCs w:val="21"/>
        </w:rPr>
        <w:sectPr w:rsidR="00B53BB1">
          <w:headerReference w:type="even" r:id="rId12"/>
          <w:headerReference w:type="default" r:id="rId13"/>
          <w:footerReference w:type="even" r:id="rId14"/>
          <w:footerReference w:type="default" r:id="rId15"/>
          <w:footerReference w:type="first" r:id="rId16"/>
          <w:pgSz w:w="11906" w:h="16838"/>
          <w:pgMar w:top="1701" w:right="1134" w:bottom="1134" w:left="1417" w:header="1417" w:footer="1134" w:gutter="0"/>
          <w:pgNumType w:fmt="upperRoman" w:start="1"/>
          <w:cols w:space="425"/>
          <w:docGrid w:type="lines" w:linePitch="312"/>
        </w:sectPr>
      </w:pPr>
    </w:p>
    <w:p w:rsidR="00B53BB1" w:rsidRDefault="00000000">
      <w:pPr>
        <w:pStyle w:val="aff7"/>
        <w:spacing w:before="850" w:after="680"/>
        <w:rPr>
          <w:rFonts w:hint="eastAsia"/>
        </w:rPr>
      </w:pPr>
      <w:bookmarkStart w:id="8" w:name="_Toc462946364"/>
      <w:bookmarkStart w:id="9" w:name="_Toc180252794"/>
      <w:bookmarkStart w:id="10" w:name="BKYY"/>
      <w:bookmarkStart w:id="11" w:name="_Toc462946300"/>
      <w:bookmarkStart w:id="12" w:name="_Toc477796003"/>
      <w:r>
        <w:rPr>
          <w:rFonts w:hint="eastAsia"/>
        </w:rPr>
        <w:lastRenderedPageBreak/>
        <w:t>前  言</w:t>
      </w:r>
      <w:bookmarkEnd w:id="8"/>
      <w:bookmarkEnd w:id="9"/>
      <w:bookmarkEnd w:id="10"/>
      <w:bookmarkEnd w:id="11"/>
      <w:bookmarkEnd w:id="12"/>
    </w:p>
    <w:p w:rsidR="00B53BB1" w:rsidRDefault="00000000">
      <w:pPr>
        <w:spacing w:line="0" w:lineRule="atLeast"/>
        <w:ind w:firstLineChars="200" w:firstLine="420"/>
        <w:rPr>
          <w:rFonts w:ascii="宋体" w:eastAsia="宋体" w:hAnsi="宋体" w:cs="宋体" w:hint="eastAsia"/>
          <w:szCs w:val="21"/>
        </w:rPr>
      </w:pPr>
      <w:r>
        <w:rPr>
          <w:rFonts w:ascii="宋体" w:eastAsia="宋体" w:hAnsi="宋体" w:cs="宋体" w:hint="eastAsia"/>
          <w:kern w:val="0"/>
          <w:szCs w:val="21"/>
        </w:rPr>
        <w:t>本文件</w:t>
      </w:r>
      <w:r>
        <w:rPr>
          <w:rFonts w:ascii="宋体" w:eastAsia="宋体" w:hAnsi="宋体" w:cs="宋体" w:hint="eastAsia"/>
          <w:color w:val="000000"/>
          <w:szCs w:val="21"/>
        </w:rPr>
        <w:t>按照GB/T 1.1—2020《标准化工作导则 第1部分：标准化文件的结构和起草规则》的规定起草。</w:t>
      </w:r>
    </w:p>
    <w:p w:rsidR="00B53BB1" w:rsidRPr="006F2A5A" w:rsidRDefault="00000000" w:rsidP="001643C0">
      <w:pPr>
        <w:ind w:firstLineChars="200" w:firstLine="420"/>
        <w:rPr>
          <w:rFonts w:ascii="宋体" w:eastAsia="宋体" w:hAnsi="宋体" w:cs="宋体" w:hint="eastAsia"/>
          <w:strike/>
          <w:szCs w:val="21"/>
        </w:rPr>
      </w:pPr>
      <w:bookmarkStart w:id="13" w:name="_Hlk141607575"/>
      <w:r>
        <w:rPr>
          <w:rFonts w:ascii="宋体" w:eastAsia="宋体" w:hAnsi="宋体" w:cs="宋体" w:hint="eastAsia"/>
          <w:szCs w:val="21"/>
        </w:rPr>
        <w:t>本文件属于T/CIMA 0161《生物气溶胶仪器设备 发生器》的第2部分。</w:t>
      </w:r>
    </w:p>
    <w:bookmarkEnd w:id="13"/>
    <w:p w:rsidR="00B53BB1" w:rsidRDefault="00000000">
      <w:pPr>
        <w:spacing w:line="0" w:lineRule="atLeast"/>
        <w:ind w:firstLineChars="200" w:firstLine="420"/>
        <w:rPr>
          <w:rFonts w:asciiTheme="minorEastAsia" w:hAnsiTheme="minorEastAsia" w:hint="eastAsia"/>
          <w:kern w:val="0"/>
          <w:szCs w:val="21"/>
        </w:rPr>
      </w:pPr>
      <w:r>
        <w:rPr>
          <w:rFonts w:asciiTheme="minorEastAsia" w:hAnsiTheme="minorEastAsia" w:hint="eastAsia"/>
          <w:kern w:val="0"/>
          <w:szCs w:val="21"/>
        </w:rPr>
        <w:t>请注意本文件的某些内容可能涉及专利。本文件的发布机构不承担识别专利的责任。</w:t>
      </w:r>
    </w:p>
    <w:p w:rsidR="00B53BB1" w:rsidRDefault="00000000">
      <w:pPr>
        <w:spacing w:line="0" w:lineRule="atLeast"/>
        <w:ind w:firstLineChars="200" w:firstLine="420"/>
        <w:rPr>
          <w:rFonts w:asciiTheme="minorEastAsia" w:hAnsiTheme="minorEastAsia" w:hint="eastAsia"/>
          <w:kern w:val="0"/>
          <w:szCs w:val="21"/>
        </w:rPr>
      </w:pPr>
      <w:bookmarkStart w:id="14" w:name="_Toc246151874"/>
      <w:bookmarkStart w:id="15" w:name="_Toc53667622"/>
      <w:bookmarkStart w:id="16" w:name="_Toc279496526"/>
      <w:bookmarkStart w:id="17" w:name="_Toc49882851"/>
      <w:bookmarkStart w:id="18" w:name="_Toc532287914"/>
      <w:bookmarkStart w:id="19" w:name="_Toc211074214"/>
      <w:bookmarkStart w:id="20" w:name="_Toc212357917"/>
      <w:bookmarkStart w:id="21" w:name="_Toc49882363"/>
      <w:r>
        <w:rPr>
          <w:rFonts w:asciiTheme="minorEastAsia" w:hAnsiTheme="minorEastAsia" w:hint="eastAsia"/>
          <w:kern w:val="0"/>
          <w:szCs w:val="21"/>
        </w:rPr>
        <w:t>本文件由中国计量科学研究院提出。</w:t>
      </w:r>
    </w:p>
    <w:p w:rsidR="00B53BB1" w:rsidRDefault="00000000">
      <w:pPr>
        <w:spacing w:line="0" w:lineRule="atLeast"/>
        <w:ind w:firstLineChars="200" w:firstLine="420"/>
        <w:rPr>
          <w:rFonts w:asciiTheme="minorEastAsia" w:hAnsiTheme="minorEastAsia" w:hint="eastAsia"/>
          <w:kern w:val="0"/>
          <w:szCs w:val="21"/>
        </w:rPr>
      </w:pPr>
      <w:r>
        <w:rPr>
          <w:rFonts w:asciiTheme="minorEastAsia" w:hAnsiTheme="minorEastAsia" w:hint="eastAsia"/>
          <w:kern w:val="0"/>
          <w:szCs w:val="21"/>
        </w:rPr>
        <w:t>本文件由中国仪器仪表行业协会归口。</w:t>
      </w:r>
    </w:p>
    <w:p w:rsidR="00B53BB1" w:rsidRDefault="00000000">
      <w:pPr>
        <w:spacing w:line="0" w:lineRule="atLeast"/>
        <w:ind w:firstLineChars="200" w:firstLine="420"/>
        <w:rPr>
          <w:rFonts w:asciiTheme="minorEastAsia" w:hAnsiTheme="minorEastAsia" w:hint="eastAsia"/>
          <w:kern w:val="0"/>
          <w:szCs w:val="21"/>
        </w:rPr>
      </w:pPr>
      <w:r>
        <w:rPr>
          <w:rFonts w:asciiTheme="minorEastAsia" w:hAnsiTheme="minorEastAsia" w:hint="eastAsia"/>
          <w:kern w:val="0"/>
          <w:szCs w:val="21"/>
        </w:rPr>
        <w:t>本文件起草单位：中国计量科学研究院、北京实安科技有限公司、太原理工大学、青岛众瑞智能仪器股份有限公司....</w:t>
      </w:r>
    </w:p>
    <w:p w:rsidR="00B53BB1" w:rsidRDefault="00000000">
      <w:pPr>
        <w:spacing w:line="0" w:lineRule="atLeast"/>
        <w:ind w:firstLineChars="200" w:firstLine="420"/>
        <w:rPr>
          <w:rFonts w:asciiTheme="minorEastAsia" w:hAnsiTheme="minorEastAsia" w:hint="eastAsia"/>
          <w:kern w:val="0"/>
          <w:szCs w:val="21"/>
        </w:rPr>
      </w:pPr>
      <w:r>
        <w:rPr>
          <w:rFonts w:asciiTheme="minorEastAsia" w:hAnsiTheme="minorEastAsia" w:hint="eastAsia"/>
          <w:kern w:val="0"/>
          <w:szCs w:val="21"/>
        </w:rPr>
        <w:t>本文件主要起草人：刘俊杰、李劲松、任军、郭黎旭、何春雷</w:t>
      </w:r>
    </w:p>
    <w:p w:rsidR="00B53BB1" w:rsidRDefault="00000000">
      <w:pPr>
        <w:rPr>
          <w:rFonts w:asciiTheme="minorEastAsia" w:hAnsiTheme="minorEastAsia" w:hint="eastAsia"/>
          <w:kern w:val="0"/>
          <w:szCs w:val="21"/>
        </w:rPr>
      </w:pPr>
      <w:r>
        <w:rPr>
          <w:rFonts w:asciiTheme="minorEastAsia" w:hAnsiTheme="minorEastAsia" w:hint="eastAsia"/>
          <w:kern w:val="0"/>
          <w:szCs w:val="21"/>
        </w:rPr>
        <w:br w:type="page"/>
      </w:r>
    </w:p>
    <w:p w:rsidR="00B53BB1" w:rsidRDefault="00B53BB1">
      <w:pPr>
        <w:spacing w:line="0" w:lineRule="atLeast"/>
        <w:ind w:firstLineChars="200" w:firstLine="420"/>
        <w:rPr>
          <w:rFonts w:asciiTheme="minorEastAsia" w:hAnsiTheme="minorEastAsia" w:hint="eastAsia"/>
          <w:kern w:val="0"/>
          <w:szCs w:val="21"/>
        </w:rPr>
        <w:sectPr w:rsidR="00B53BB1">
          <w:headerReference w:type="even" r:id="rId17"/>
          <w:headerReference w:type="default" r:id="rId18"/>
          <w:footerReference w:type="even" r:id="rId19"/>
          <w:footerReference w:type="default" r:id="rId20"/>
          <w:pgSz w:w="11906" w:h="16838"/>
          <w:pgMar w:top="1418" w:right="1134" w:bottom="1134" w:left="1418" w:header="1009" w:footer="992" w:gutter="0"/>
          <w:pgNumType w:fmt="upperRoman"/>
          <w:cols w:space="720"/>
          <w:docGrid w:type="lines" w:linePitch="312"/>
        </w:sectPr>
      </w:pPr>
    </w:p>
    <w:p w:rsidR="00B53BB1" w:rsidRDefault="00000000">
      <w:pPr>
        <w:pStyle w:val="aff7"/>
        <w:spacing w:before="850" w:after="680"/>
        <w:rPr>
          <w:rFonts w:hint="eastAsia"/>
        </w:rPr>
      </w:pPr>
      <w:bookmarkStart w:id="22" w:name="_Toc180252795"/>
      <w:bookmarkStart w:id="23" w:name="_Toc30277"/>
      <w:r>
        <w:rPr>
          <w:rFonts w:hint="eastAsia"/>
        </w:rPr>
        <w:lastRenderedPageBreak/>
        <w:t>引  言</w:t>
      </w:r>
    </w:p>
    <w:p w:rsidR="00B53BB1" w:rsidRDefault="00000000" w:rsidP="006F2A5A">
      <w:pPr>
        <w:spacing w:line="360" w:lineRule="auto"/>
        <w:ind w:firstLineChars="200" w:firstLine="420"/>
        <w:rPr>
          <w:rFonts w:ascii="宋体" w:eastAsia="宋体" w:hAnsi="宋体" w:cs="宋体" w:hint="eastAsia"/>
          <w:kern w:val="0"/>
          <w:szCs w:val="21"/>
        </w:rPr>
      </w:pPr>
      <w:r>
        <w:rPr>
          <w:rFonts w:ascii="宋体" w:eastAsia="宋体" w:hAnsi="宋体" w:cs="宋体" w:hint="eastAsia"/>
          <w:kern w:val="0"/>
          <w:szCs w:val="21"/>
        </w:rPr>
        <w:t>生物气溶胶的研究日益成为环境科学、公共卫生、微生物学及传染病防控等多个学科交叉研究的热点。单分散气溶胶发生器通过精确调控气溶胶颗粒的大小和数量，为科研人员提供了一个标准化的实验平台，使得研究结果更具可比性和重复性。这也对设备的操作及性能验证提出了更高要求。因此，制定统一的技术标准，对于确保实验数据的准确性和可靠性，促进研究成果的交流具有重要意义。</w:t>
      </w:r>
    </w:p>
    <w:p w:rsidR="00B53BB1" w:rsidRDefault="006F2A5A" w:rsidP="006F2A5A">
      <w:pPr>
        <w:pStyle w:val="af2"/>
        <w:shd w:val="clear" w:color="auto" w:fill="FDFDFE"/>
        <w:spacing w:before="0" w:beforeAutospacing="0" w:after="0" w:afterAutospacing="0" w:line="360" w:lineRule="auto"/>
        <w:rPr>
          <w:rFonts w:eastAsia="宋体" w:hint="eastAsia"/>
          <w:sz w:val="21"/>
          <w:szCs w:val="21"/>
          <w:shd w:val="clear" w:color="auto" w:fill="FDFDFE"/>
        </w:rPr>
      </w:pPr>
      <w:r>
        <w:rPr>
          <w:rFonts w:eastAsia="宋体" w:hint="eastAsia"/>
          <w:sz w:val="21"/>
          <w:szCs w:val="21"/>
          <w:shd w:val="clear" w:color="auto" w:fill="FDFDFE"/>
        </w:rPr>
        <w:t xml:space="preserve">    </w:t>
      </w:r>
      <w:r w:rsidR="00000000">
        <w:rPr>
          <w:rFonts w:eastAsia="宋体" w:hint="eastAsia"/>
          <w:sz w:val="21"/>
          <w:szCs w:val="21"/>
          <w:shd w:val="clear" w:color="auto" w:fill="FDFDFE"/>
        </w:rPr>
        <w:t>T/CIMA 0161</w:t>
      </w:r>
      <w:r w:rsidR="00000000">
        <w:rPr>
          <w:rFonts w:eastAsia="宋体" w:hint="eastAsia"/>
          <w:sz w:val="21"/>
          <w:szCs w:val="21"/>
        </w:rPr>
        <w:t>《生物气溶胶实验仪器设备 发生器》旨在规范生物气溶胶实验研究中生物气溶胶发生器工作原理、结构、技术指标、试验方法等。</w:t>
      </w:r>
      <w:r w:rsidR="00000000">
        <w:rPr>
          <w:rFonts w:eastAsia="宋体" w:hint="eastAsia"/>
          <w:sz w:val="21"/>
          <w:szCs w:val="21"/>
          <w:shd w:val="clear" w:color="auto" w:fill="FDFDFE"/>
        </w:rPr>
        <w:t>拟由三个部分构成。本系列标准由3部分组成。</w:t>
      </w:r>
    </w:p>
    <w:p w:rsidR="00B53BB1" w:rsidRDefault="00000000" w:rsidP="006F2A5A">
      <w:pPr>
        <w:pStyle w:val="af2"/>
        <w:shd w:val="clear" w:color="auto" w:fill="FDFDFE"/>
        <w:spacing w:before="0" w:beforeAutospacing="0" w:after="0" w:afterAutospacing="0" w:line="360" w:lineRule="auto"/>
        <w:ind w:firstLineChars="186" w:firstLine="391"/>
        <w:rPr>
          <w:rFonts w:eastAsia="宋体" w:hint="eastAsia"/>
          <w:sz w:val="21"/>
          <w:szCs w:val="21"/>
          <w:shd w:val="clear" w:color="auto" w:fill="FDFDFE"/>
        </w:rPr>
      </w:pPr>
      <w:r>
        <w:rPr>
          <w:rFonts w:eastAsia="宋体" w:hint="eastAsia"/>
          <w:sz w:val="21"/>
          <w:szCs w:val="21"/>
          <w:shd w:val="clear" w:color="auto" w:fill="FDFDFE"/>
        </w:rPr>
        <w:t>——第1部分：气喷回流发生器。规范气喷回流发生器的结构和技术性能的要求；</w:t>
      </w:r>
    </w:p>
    <w:p w:rsidR="00B53BB1" w:rsidRDefault="00000000" w:rsidP="006F2A5A">
      <w:pPr>
        <w:pStyle w:val="af2"/>
        <w:shd w:val="clear" w:color="auto" w:fill="FDFDFE"/>
        <w:spacing w:before="0" w:beforeAutospacing="0" w:after="0" w:afterAutospacing="0" w:line="360" w:lineRule="auto"/>
        <w:ind w:firstLineChars="186" w:firstLine="391"/>
        <w:rPr>
          <w:rFonts w:eastAsia="宋体" w:hint="eastAsia"/>
          <w:sz w:val="21"/>
          <w:szCs w:val="21"/>
          <w:shd w:val="clear" w:color="auto" w:fill="FDFDFE"/>
        </w:rPr>
      </w:pPr>
      <w:r>
        <w:rPr>
          <w:rFonts w:eastAsia="宋体" w:hint="eastAsia"/>
          <w:sz w:val="21"/>
          <w:szCs w:val="21"/>
          <w:shd w:val="clear" w:color="auto" w:fill="FDFDFE"/>
        </w:rPr>
        <w:t>——第2部分：单分散气溶胶发生器。规范单分散气溶胶发生器的结构和技术性能的要求；</w:t>
      </w:r>
    </w:p>
    <w:p w:rsidR="00B53BB1" w:rsidRDefault="00000000" w:rsidP="006F2A5A">
      <w:pPr>
        <w:pStyle w:val="af2"/>
        <w:shd w:val="clear" w:color="auto" w:fill="FDFDFE"/>
        <w:spacing w:before="0" w:beforeAutospacing="0" w:after="0" w:afterAutospacing="0" w:line="360" w:lineRule="auto"/>
        <w:ind w:firstLineChars="186" w:firstLine="391"/>
        <w:rPr>
          <w:rFonts w:eastAsia="宋体" w:hint="eastAsia"/>
          <w:sz w:val="21"/>
          <w:szCs w:val="21"/>
          <w:shd w:val="clear" w:color="auto" w:fill="FDFDFE"/>
        </w:rPr>
      </w:pPr>
      <w:r>
        <w:rPr>
          <w:rFonts w:eastAsia="宋体" w:hint="eastAsia"/>
          <w:sz w:val="21"/>
          <w:szCs w:val="21"/>
          <w:shd w:val="clear" w:color="auto" w:fill="FDFDFE"/>
        </w:rPr>
        <w:t>——第3部分：芯片气溶胶发生器。规范芯片气溶胶发生器的结构和技术性能的要求</w:t>
      </w:r>
      <w:r w:rsidR="006F2A5A">
        <w:rPr>
          <w:rFonts w:eastAsia="宋体" w:hint="eastAsia"/>
          <w:sz w:val="21"/>
          <w:szCs w:val="21"/>
          <w:shd w:val="clear" w:color="auto" w:fill="FDFDFE"/>
        </w:rPr>
        <w:t>。</w:t>
      </w:r>
    </w:p>
    <w:p w:rsidR="00B53BB1" w:rsidRDefault="00B53BB1" w:rsidP="006F2A5A">
      <w:pPr>
        <w:spacing w:line="360" w:lineRule="auto"/>
        <w:ind w:firstLineChars="200" w:firstLine="420"/>
        <w:rPr>
          <w:rFonts w:asciiTheme="minorEastAsia" w:hAnsiTheme="minorEastAsia" w:hint="eastAsia"/>
          <w:kern w:val="0"/>
          <w:szCs w:val="21"/>
        </w:rPr>
      </w:pPr>
    </w:p>
    <w:p w:rsidR="00B53BB1" w:rsidRDefault="00B53BB1">
      <w:pPr>
        <w:spacing w:line="0" w:lineRule="atLeast"/>
        <w:ind w:firstLineChars="200" w:firstLine="420"/>
        <w:rPr>
          <w:rFonts w:asciiTheme="minorEastAsia" w:hAnsiTheme="minorEastAsia" w:hint="eastAsia"/>
          <w:kern w:val="0"/>
          <w:szCs w:val="21"/>
        </w:rPr>
        <w:sectPr w:rsidR="00B53BB1">
          <w:headerReference w:type="even" r:id="rId21"/>
          <w:headerReference w:type="default" r:id="rId22"/>
          <w:footerReference w:type="even" r:id="rId23"/>
          <w:footerReference w:type="default" r:id="rId24"/>
          <w:type w:val="continuous"/>
          <w:pgSz w:w="11906" w:h="16838"/>
          <w:pgMar w:top="1701" w:right="1134" w:bottom="1134" w:left="1417" w:header="1417" w:footer="1134" w:gutter="0"/>
          <w:pgNumType w:start="1"/>
          <w:cols w:space="425"/>
          <w:docGrid w:type="lines" w:linePitch="312"/>
        </w:sectPr>
      </w:pPr>
    </w:p>
    <w:p w:rsidR="00B53BB1" w:rsidRDefault="00B53BB1">
      <w:pPr>
        <w:spacing w:line="0" w:lineRule="atLeast"/>
        <w:ind w:firstLineChars="200" w:firstLine="420"/>
        <w:rPr>
          <w:rFonts w:asciiTheme="minorEastAsia" w:hAnsiTheme="minorEastAsia" w:hint="eastAsia"/>
          <w:kern w:val="0"/>
          <w:szCs w:val="21"/>
        </w:rPr>
      </w:pPr>
    </w:p>
    <w:p w:rsidR="00B53BB1" w:rsidRDefault="00000000">
      <w:pPr>
        <w:pStyle w:val="aff7"/>
        <w:spacing w:before="850" w:after="680"/>
        <w:rPr>
          <w:rFonts w:hint="eastAsia"/>
          <w:lang w:val="zh-CN"/>
        </w:rPr>
      </w:pPr>
      <w:r>
        <w:rPr>
          <w:rFonts w:hint="eastAsia"/>
          <w:lang w:val="zh-CN"/>
        </w:rPr>
        <w:t>生物气溶胶实验仪器设备</w:t>
      </w:r>
      <w:r>
        <w:rPr>
          <w:rFonts w:hint="eastAsia"/>
        </w:rPr>
        <w:t xml:space="preserve"> 发生器 </w:t>
      </w:r>
      <w:r>
        <w:rPr>
          <w:rFonts w:hint="eastAsia"/>
          <w:lang w:val="zh-CN"/>
        </w:rPr>
        <w:t>第2部分：单分散气溶胶发生器</w:t>
      </w:r>
      <w:bookmarkEnd w:id="22"/>
      <w:bookmarkEnd w:id="23"/>
    </w:p>
    <w:p w:rsidR="00B53BB1" w:rsidRDefault="00000000">
      <w:pPr>
        <w:pStyle w:val="a4"/>
      </w:pPr>
      <w:bookmarkStart w:id="24" w:name="_Toc180252796"/>
      <w:r>
        <w:rPr>
          <w:rFonts w:hint="eastAsia"/>
        </w:rPr>
        <w:t>范围</w:t>
      </w:r>
      <w:bookmarkEnd w:id="14"/>
      <w:bookmarkEnd w:id="15"/>
      <w:bookmarkEnd w:id="16"/>
      <w:bookmarkEnd w:id="17"/>
      <w:bookmarkEnd w:id="18"/>
      <w:bookmarkEnd w:id="19"/>
      <w:bookmarkEnd w:id="20"/>
      <w:bookmarkEnd w:id="21"/>
      <w:bookmarkEnd w:id="24"/>
    </w:p>
    <w:p w:rsidR="00B53BB1" w:rsidRDefault="00000000">
      <w:pPr>
        <w:ind w:firstLineChars="200" w:firstLine="420"/>
        <w:rPr>
          <w:rFonts w:ascii="宋体" w:hAnsi="宋体" w:hint="eastAsia"/>
          <w:szCs w:val="21"/>
        </w:rPr>
      </w:pPr>
      <w:r>
        <w:rPr>
          <w:rFonts w:ascii="宋体" w:hAnsi="宋体" w:hint="eastAsia"/>
          <w:szCs w:val="21"/>
        </w:rPr>
        <w:t>本文件描述了</w:t>
      </w:r>
      <w:r>
        <w:rPr>
          <w:rFonts w:hint="eastAsia"/>
        </w:rPr>
        <w:t>单分散气溶胶发生器</w:t>
      </w:r>
      <w:r>
        <w:rPr>
          <w:rFonts w:ascii="宋体" w:hAnsi="宋体" w:hint="eastAsia"/>
          <w:szCs w:val="21"/>
        </w:rPr>
        <w:t>的原理和结构，规定了</w:t>
      </w:r>
      <w:r>
        <w:rPr>
          <w:rFonts w:hint="eastAsia"/>
        </w:rPr>
        <w:t>单分散气溶胶发生器</w:t>
      </w:r>
      <w:r>
        <w:rPr>
          <w:rFonts w:ascii="宋体" w:hAnsi="宋体" w:hint="eastAsia"/>
          <w:szCs w:val="21"/>
        </w:rPr>
        <w:t>的技术要求，试验方法和检验规则等。</w:t>
      </w:r>
    </w:p>
    <w:p w:rsidR="00B53BB1" w:rsidRDefault="00000000">
      <w:pPr>
        <w:pStyle w:val="af7"/>
        <w:tabs>
          <w:tab w:val="center" w:pos="4201"/>
          <w:tab w:val="right" w:leader="dot" w:pos="9298"/>
        </w:tabs>
        <w:rPr>
          <w:rFonts w:hAnsi="宋体" w:hint="eastAsia"/>
          <w:sz w:val="21"/>
          <w:szCs w:val="22"/>
        </w:rPr>
      </w:pPr>
      <w:r>
        <w:rPr>
          <w:rFonts w:hAnsi="宋体" w:hint="eastAsia"/>
          <w:sz w:val="21"/>
          <w:szCs w:val="22"/>
        </w:rPr>
        <w:t>本文件适用于</w:t>
      </w:r>
      <w:r>
        <w:rPr>
          <w:rFonts w:ascii="Times New Roman" w:hint="eastAsia"/>
          <w:sz w:val="21"/>
          <w:szCs w:val="21"/>
        </w:rPr>
        <w:t>单分散气溶胶发生器</w:t>
      </w:r>
      <w:r>
        <w:rPr>
          <w:rFonts w:hAnsi="宋体" w:hint="eastAsia"/>
          <w:sz w:val="21"/>
          <w:szCs w:val="22"/>
        </w:rPr>
        <w:t>的研制、生产和检验。</w:t>
      </w:r>
    </w:p>
    <w:p w:rsidR="00B53BB1" w:rsidRDefault="00000000">
      <w:pPr>
        <w:pStyle w:val="a4"/>
      </w:pPr>
      <w:bookmarkStart w:id="25" w:name="_Toc53667623"/>
      <w:bookmarkStart w:id="26" w:name="_Toc49882852"/>
      <w:bookmarkStart w:id="27" w:name="_Toc180252797"/>
      <w:bookmarkStart w:id="28" w:name="_Toc279496527"/>
      <w:bookmarkStart w:id="29" w:name="_Toc532287915"/>
      <w:bookmarkStart w:id="30" w:name="_Toc246151875"/>
      <w:bookmarkStart w:id="31" w:name="_Toc49882364"/>
      <w:bookmarkStart w:id="32" w:name="_Toc211074215"/>
      <w:bookmarkStart w:id="33" w:name="_Toc212357918"/>
      <w:r>
        <w:rPr>
          <w:rFonts w:hint="eastAsia"/>
        </w:rPr>
        <w:t>规范性引用文件</w:t>
      </w:r>
      <w:bookmarkEnd w:id="25"/>
      <w:bookmarkEnd w:id="26"/>
      <w:bookmarkEnd w:id="27"/>
      <w:bookmarkEnd w:id="28"/>
      <w:bookmarkEnd w:id="29"/>
      <w:bookmarkEnd w:id="30"/>
      <w:bookmarkEnd w:id="31"/>
      <w:bookmarkEnd w:id="32"/>
      <w:bookmarkEnd w:id="33"/>
    </w:p>
    <w:p w:rsidR="00B53BB1" w:rsidRDefault="00000000">
      <w:pPr>
        <w:widowControl/>
        <w:tabs>
          <w:tab w:val="center" w:pos="4201"/>
          <w:tab w:val="right" w:leader="dot" w:pos="9298"/>
        </w:tabs>
        <w:autoSpaceDE w:val="0"/>
        <w:autoSpaceDN w:val="0"/>
        <w:ind w:firstLineChars="200" w:firstLine="420"/>
        <w:rPr>
          <w:rFonts w:ascii="宋体"/>
          <w:kern w:val="0"/>
          <w:szCs w:val="20"/>
        </w:rPr>
      </w:pPr>
      <w:r>
        <w:rPr>
          <w:rFonts w:ascii="宋体"/>
          <w:kern w:val="0"/>
          <w:szCs w:val="20"/>
        </w:rPr>
        <w:t>下列文件中的内容通过文中的规范性引用而构成本文件必不可少的条款。其中</w:t>
      </w:r>
      <w:r>
        <w:rPr>
          <w:rFonts w:ascii="宋体" w:hint="eastAsia"/>
          <w:kern w:val="0"/>
          <w:szCs w:val="20"/>
        </w:rPr>
        <w:t>，</w:t>
      </w:r>
      <w:r>
        <w:rPr>
          <w:rFonts w:ascii="宋体"/>
          <w:kern w:val="0"/>
          <w:szCs w:val="20"/>
        </w:rPr>
        <w:t>注日期的引用文件</w:t>
      </w:r>
      <w:r>
        <w:rPr>
          <w:rFonts w:ascii="宋体" w:hint="eastAsia"/>
          <w:kern w:val="0"/>
          <w:szCs w:val="20"/>
        </w:rPr>
        <w:t>，</w:t>
      </w:r>
      <w:r>
        <w:rPr>
          <w:rFonts w:ascii="宋体"/>
          <w:kern w:val="0"/>
          <w:szCs w:val="20"/>
        </w:rPr>
        <w:t>仅该日期对应的版本适用于本文件</w:t>
      </w:r>
      <w:r>
        <w:rPr>
          <w:rFonts w:ascii="宋体" w:hint="eastAsia"/>
          <w:kern w:val="0"/>
          <w:szCs w:val="20"/>
        </w:rPr>
        <w:t>；</w:t>
      </w:r>
      <w:r>
        <w:rPr>
          <w:rFonts w:ascii="宋体"/>
          <w:kern w:val="0"/>
          <w:szCs w:val="20"/>
        </w:rPr>
        <w:t>不注日期的引用文件,其最新版本</w:t>
      </w:r>
      <w:r>
        <w:rPr>
          <w:rFonts w:ascii="宋体" w:hint="eastAsia"/>
          <w:kern w:val="0"/>
          <w:szCs w:val="20"/>
        </w:rPr>
        <w:t>（</w:t>
      </w:r>
      <w:r>
        <w:rPr>
          <w:rFonts w:ascii="宋体"/>
          <w:kern w:val="0"/>
          <w:szCs w:val="20"/>
        </w:rPr>
        <w:t>包括所有的修改单</w:t>
      </w:r>
      <w:r>
        <w:rPr>
          <w:rFonts w:ascii="宋体" w:hint="eastAsia"/>
          <w:kern w:val="0"/>
          <w:szCs w:val="20"/>
        </w:rPr>
        <w:t>）</w:t>
      </w:r>
      <w:r>
        <w:rPr>
          <w:rFonts w:ascii="宋体"/>
          <w:kern w:val="0"/>
          <w:szCs w:val="20"/>
        </w:rPr>
        <w:t>适用于本文件</w:t>
      </w:r>
      <w:r>
        <w:rPr>
          <w:rFonts w:ascii="宋体" w:hint="eastAsia"/>
          <w:kern w:val="0"/>
          <w:szCs w:val="20"/>
        </w:rPr>
        <w:t>。</w:t>
      </w:r>
    </w:p>
    <w:p w:rsidR="00B53BB1" w:rsidRDefault="00000000">
      <w:pPr>
        <w:ind w:firstLineChars="200" w:firstLine="420"/>
        <w:rPr>
          <w:rFonts w:ascii="宋体" w:eastAsia="宋体" w:hAnsi="宋体" w:cs="宋体" w:hint="eastAsia"/>
          <w:szCs w:val="21"/>
        </w:rPr>
      </w:pPr>
      <w:r>
        <w:rPr>
          <w:rFonts w:ascii="宋体" w:eastAsia="宋体" w:hAnsi="宋体" w:cs="宋体" w:hint="eastAsia"/>
          <w:szCs w:val="21"/>
        </w:rPr>
        <w:t xml:space="preserve">GB/T 191  包装储运图示标志 </w:t>
      </w:r>
    </w:p>
    <w:p w:rsidR="00B53BB1" w:rsidRDefault="00000000">
      <w:pPr>
        <w:ind w:firstLineChars="200" w:firstLine="420"/>
        <w:rPr>
          <w:rFonts w:ascii="宋体" w:eastAsia="宋体" w:hAnsi="宋体" w:cs="宋体" w:hint="eastAsia"/>
          <w:szCs w:val="21"/>
        </w:rPr>
      </w:pPr>
      <w:r>
        <w:rPr>
          <w:rFonts w:ascii="宋体" w:eastAsia="宋体" w:hAnsi="宋体" w:cs="宋体" w:hint="eastAsia"/>
          <w:szCs w:val="21"/>
        </w:rPr>
        <w:t>GB/T 6682—2008  分析实验室用水规格和试验方法</w:t>
      </w:r>
    </w:p>
    <w:p w:rsidR="00B53BB1" w:rsidRDefault="00000000">
      <w:pPr>
        <w:ind w:firstLineChars="200" w:firstLine="420"/>
        <w:rPr>
          <w:rFonts w:ascii="宋体" w:eastAsia="宋体" w:hAnsi="宋体" w:cs="宋体" w:hint="eastAsia"/>
          <w:szCs w:val="21"/>
        </w:rPr>
      </w:pPr>
      <w:r>
        <w:rPr>
          <w:rFonts w:ascii="宋体" w:eastAsia="宋体" w:hAnsi="宋体" w:cs="宋体" w:hint="eastAsia"/>
          <w:szCs w:val="21"/>
        </w:rPr>
        <w:t>GB/T 11606  分析仪器环境试验方法</w:t>
      </w:r>
    </w:p>
    <w:p w:rsidR="00B53BB1" w:rsidRDefault="00000000">
      <w:pPr>
        <w:ind w:firstLineChars="200" w:firstLine="420"/>
        <w:rPr>
          <w:rFonts w:ascii="宋体" w:eastAsia="宋体" w:hAnsi="宋体" w:cs="宋体" w:hint="eastAsia"/>
          <w:szCs w:val="21"/>
        </w:rPr>
      </w:pPr>
      <w:r>
        <w:rPr>
          <w:rFonts w:ascii="宋体" w:eastAsia="宋体" w:hAnsi="宋体" w:cs="宋体" w:hint="eastAsia"/>
          <w:szCs w:val="21"/>
        </w:rPr>
        <w:t>GB/T 13384  机电产品包装通用技术条件</w:t>
      </w:r>
    </w:p>
    <w:p w:rsidR="00B53BB1" w:rsidRDefault="00000000">
      <w:pPr>
        <w:ind w:firstLineChars="200" w:firstLine="420"/>
        <w:rPr>
          <w:rFonts w:ascii="宋体" w:eastAsia="宋体" w:hAnsi="宋体" w:cs="宋体" w:hint="eastAsia"/>
          <w:szCs w:val="21"/>
        </w:rPr>
      </w:pPr>
      <w:r>
        <w:rPr>
          <w:rFonts w:ascii="宋体" w:eastAsia="宋体" w:hAnsi="宋体" w:cs="宋体" w:hint="eastAsia"/>
          <w:szCs w:val="21"/>
        </w:rPr>
        <w:t>GB/T 34065 分析仪器的安全要求</w:t>
      </w:r>
    </w:p>
    <w:p w:rsidR="00B53BB1" w:rsidRDefault="00000000">
      <w:pPr>
        <w:ind w:firstLineChars="200" w:firstLine="420"/>
        <w:rPr>
          <w:rFonts w:ascii="宋体" w:eastAsia="宋体" w:hAnsi="宋体" w:cs="宋体" w:hint="eastAsia"/>
          <w:szCs w:val="21"/>
        </w:rPr>
      </w:pPr>
      <w:r>
        <w:rPr>
          <w:rFonts w:ascii="宋体" w:eastAsia="宋体" w:hAnsi="宋体" w:cs="宋体" w:hint="eastAsia"/>
          <w:szCs w:val="21"/>
        </w:rPr>
        <w:t>GB/T 38517—2020  颗粒  生物气溶胶采样和分析  通则</w:t>
      </w:r>
    </w:p>
    <w:p w:rsidR="00B53BB1" w:rsidRDefault="00000000">
      <w:pPr>
        <w:pStyle w:val="a4"/>
      </w:pPr>
      <w:bookmarkStart w:id="34" w:name="_Toc180252798"/>
      <w:bookmarkStart w:id="35" w:name="_Toc532287916"/>
      <w:bookmarkStart w:id="36" w:name="_Toc49882853"/>
      <w:bookmarkStart w:id="37" w:name="_Toc53667624"/>
      <w:bookmarkStart w:id="38" w:name="_Toc49882365"/>
      <w:r>
        <w:rPr>
          <w:rFonts w:hint="eastAsia"/>
        </w:rPr>
        <w:t>术语和定义</w:t>
      </w:r>
      <w:bookmarkEnd w:id="34"/>
      <w:bookmarkEnd w:id="35"/>
      <w:bookmarkEnd w:id="36"/>
      <w:bookmarkEnd w:id="37"/>
      <w:bookmarkEnd w:id="38"/>
    </w:p>
    <w:p w:rsidR="00B53BB1" w:rsidRDefault="00000000">
      <w:pPr>
        <w:ind w:firstLineChars="200" w:firstLine="420"/>
        <w:rPr>
          <w:rFonts w:ascii="宋体" w:eastAsia="宋体" w:hAnsi="宋体" w:cs="宋体" w:hint="eastAsia"/>
          <w:szCs w:val="21"/>
        </w:rPr>
      </w:pPr>
      <w:r>
        <w:rPr>
          <w:rFonts w:ascii="宋体" w:eastAsia="宋体" w:hAnsi="宋体" w:cs="宋体" w:hint="eastAsia"/>
          <w:szCs w:val="21"/>
        </w:rPr>
        <w:t>GB/T 38517—2020界定的以及下列术语和定义适用于本文件。</w:t>
      </w:r>
    </w:p>
    <w:p w:rsidR="00B53BB1" w:rsidRDefault="00B53BB1">
      <w:pPr>
        <w:pStyle w:val="aff3"/>
        <w:numPr>
          <w:ilvl w:val="2"/>
          <w:numId w:val="1"/>
        </w:numPr>
        <w:spacing w:before="156" w:after="156"/>
        <w:outlineLvl w:val="1"/>
        <w:rPr>
          <w:rFonts w:ascii="Times New Roman" w:cs="黑体"/>
          <w:color w:val="0000FF"/>
        </w:rPr>
      </w:pPr>
      <w:bookmarkStart w:id="39" w:name="_Toc16670"/>
      <w:bookmarkStart w:id="40" w:name="_Toc7131"/>
      <w:bookmarkStart w:id="41" w:name="_Toc180252799"/>
      <w:bookmarkEnd w:id="39"/>
      <w:bookmarkEnd w:id="40"/>
      <w:bookmarkEnd w:id="41"/>
    </w:p>
    <w:p w:rsidR="00B53BB1" w:rsidRDefault="00000000">
      <w:pPr>
        <w:pStyle w:val="mxz"/>
        <w:rPr>
          <w:rFonts w:ascii="黑体" w:eastAsia="黑体" w:hAnsi="黑体" w:cs="黑体" w:hint="eastAsia"/>
        </w:rPr>
      </w:pPr>
      <w:bookmarkStart w:id="42" w:name="_Toc7492"/>
      <w:bookmarkEnd w:id="42"/>
      <w:r>
        <w:rPr>
          <w:rFonts w:ascii="黑体" w:eastAsia="黑体" w:hAnsi="黑体" w:cs="黑体" w:hint="eastAsia"/>
        </w:rPr>
        <w:t>气溶胶  aerosol</w:t>
      </w:r>
    </w:p>
    <w:p w:rsidR="00B53BB1" w:rsidRDefault="00000000">
      <w:pPr>
        <w:ind w:firstLineChars="200" w:firstLine="420"/>
        <w:rPr>
          <w:rFonts w:ascii="Times New Roman" w:hAnsi="Times New Roman" w:cs="Times New Roman"/>
          <w:szCs w:val="21"/>
        </w:rPr>
      </w:pPr>
      <w:r>
        <w:rPr>
          <w:rFonts w:hint="eastAsia"/>
        </w:rPr>
        <w:t>悬浮于气体中的固体或</w:t>
      </w:r>
      <w:r>
        <w:rPr>
          <w:rFonts w:hint="eastAsia"/>
        </w:rPr>
        <w:t>/</w:t>
      </w:r>
      <w:r>
        <w:rPr>
          <w:rFonts w:hint="eastAsia"/>
        </w:rPr>
        <w:t>或液体颗粒分散体系。</w:t>
      </w:r>
    </w:p>
    <w:p w:rsidR="00B53BB1" w:rsidRDefault="00B53BB1">
      <w:pPr>
        <w:pStyle w:val="aff3"/>
        <w:numPr>
          <w:ilvl w:val="2"/>
          <w:numId w:val="1"/>
        </w:numPr>
        <w:spacing w:before="156" w:after="156"/>
        <w:outlineLvl w:val="1"/>
        <w:rPr>
          <w:rFonts w:ascii="Times New Roman" w:cs="黑体"/>
          <w:color w:val="0000FF"/>
        </w:rPr>
      </w:pPr>
      <w:bookmarkStart w:id="43" w:name="_Toc31151"/>
      <w:bookmarkStart w:id="44" w:name="_Toc180252800"/>
      <w:bookmarkEnd w:id="43"/>
      <w:bookmarkEnd w:id="44"/>
    </w:p>
    <w:p w:rsidR="00B53BB1" w:rsidRDefault="00000000">
      <w:pPr>
        <w:pStyle w:val="mxz"/>
        <w:rPr>
          <w:rFonts w:ascii="黑体" w:eastAsia="黑体" w:hAnsi="黑体" w:cs="黑体" w:hint="eastAsia"/>
        </w:rPr>
      </w:pPr>
      <w:bookmarkStart w:id="45" w:name="_Toc3470"/>
      <w:bookmarkEnd w:id="45"/>
      <w:r>
        <w:rPr>
          <w:rFonts w:ascii="黑体" w:eastAsia="黑体" w:hAnsi="黑体" w:cs="黑体" w:hint="eastAsia"/>
        </w:rPr>
        <w:t>颗粒数量浓度  particle number concentration</w:t>
      </w:r>
    </w:p>
    <w:p w:rsidR="00B53BB1" w:rsidRDefault="00000000">
      <w:pPr>
        <w:pStyle w:val="affd"/>
        <w:rPr>
          <w:rFonts w:hAnsi="宋体" w:hint="eastAsia"/>
          <w:sz w:val="21"/>
          <w:szCs w:val="24"/>
        </w:rPr>
      </w:pPr>
      <w:r>
        <w:rPr>
          <w:rFonts w:hint="eastAsia"/>
          <w:sz w:val="21"/>
          <w:szCs w:val="21"/>
        </w:rPr>
        <w:t>单位体积气体中的颗粒数量。</w:t>
      </w:r>
    </w:p>
    <w:p w:rsidR="00B53BB1" w:rsidRDefault="00000000">
      <w:pPr>
        <w:pStyle w:val="a4"/>
      </w:pPr>
      <w:bookmarkStart w:id="46" w:name="_Toc180252801"/>
      <w:bookmarkStart w:id="47" w:name="_Toc21533"/>
      <w:bookmarkStart w:id="48" w:name="_Toc15780"/>
      <w:bookmarkStart w:id="49" w:name="_Toc180252802"/>
      <w:bookmarkStart w:id="50" w:name="_Toc180252803"/>
      <w:bookmarkEnd w:id="46"/>
      <w:bookmarkEnd w:id="47"/>
      <w:bookmarkEnd w:id="48"/>
      <w:bookmarkEnd w:id="49"/>
      <w:r>
        <w:rPr>
          <w:rFonts w:hint="eastAsia"/>
        </w:rPr>
        <w:t>结构与组成</w:t>
      </w:r>
      <w:bookmarkEnd w:id="50"/>
    </w:p>
    <w:p w:rsidR="00B53BB1" w:rsidRDefault="00000000">
      <w:pPr>
        <w:ind w:firstLineChars="200" w:firstLine="420"/>
      </w:pPr>
      <w:r>
        <w:rPr>
          <w:rFonts w:hint="eastAsia"/>
        </w:rPr>
        <w:t>单分散气溶胶发生器（以下简称为“发生器”）是一种可定量发生液滴、固体气溶胶颗粒的设备，通过调控仪器的相关参量、改变液体介质的组分，可实现对不同粒径、不同浓度、不同荧光特性的液滴</w:t>
      </w:r>
      <w:r>
        <w:rPr>
          <w:rFonts w:hint="eastAsia"/>
        </w:rPr>
        <w:t>/</w:t>
      </w:r>
      <w:r>
        <w:rPr>
          <w:rFonts w:hint="eastAsia"/>
        </w:rPr>
        <w:t>固体气溶胶颗粒样品的可控发生，主要由液滴发生系统、液体干燥系统、气动控制系统组成。</w:t>
      </w:r>
    </w:p>
    <w:p w:rsidR="00B53BB1" w:rsidRDefault="00B53BB1">
      <w:pPr>
        <w:ind w:firstLineChars="200" w:firstLine="420"/>
      </w:pPr>
    </w:p>
    <w:p w:rsidR="00B53BB1" w:rsidRDefault="00000000">
      <w:pPr>
        <w:pStyle w:val="af2"/>
        <w:jc w:val="center"/>
        <w:rPr>
          <w:rFonts w:hint="eastAsia"/>
        </w:rPr>
      </w:pPr>
      <w:r>
        <w:rPr>
          <w:noProof/>
        </w:rPr>
        <w:drawing>
          <wp:inline distT="0" distB="0" distL="0" distR="0">
            <wp:extent cx="5237480" cy="1748790"/>
            <wp:effectExtent l="0" t="0" r="1270" b="3810"/>
            <wp:docPr id="154441108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411082" name="图片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244420" cy="1751504"/>
                    </a:xfrm>
                    <a:prstGeom prst="rect">
                      <a:avLst/>
                    </a:prstGeom>
                    <a:noFill/>
                    <a:ln>
                      <a:noFill/>
                    </a:ln>
                  </pic:spPr>
                </pic:pic>
              </a:graphicData>
            </a:graphic>
          </wp:inline>
        </w:drawing>
      </w:r>
    </w:p>
    <w:p w:rsidR="00B53BB1" w:rsidRDefault="00000000">
      <w:pPr>
        <w:pStyle w:val="afb"/>
        <w:widowControl/>
        <w:numPr>
          <w:ilvl w:val="0"/>
          <w:numId w:val="4"/>
        </w:numPr>
        <w:spacing w:after="156"/>
        <w:ind w:firstLineChars="0"/>
        <w:jc w:val="center"/>
        <w:rPr>
          <w:rFonts w:ascii="黑体" w:eastAsia="黑体" w:hAnsi="黑体" w:cs="黑体" w:hint="eastAsia"/>
          <w:szCs w:val="21"/>
        </w:rPr>
      </w:pPr>
      <w:r>
        <w:rPr>
          <w:rFonts w:ascii="黑体" w:eastAsia="黑体" w:hAnsi="黑体" w:hint="eastAsia"/>
          <w:kern w:val="0"/>
          <w:szCs w:val="20"/>
        </w:rPr>
        <w:t xml:space="preserve"> 发生器结构示意图</w:t>
      </w:r>
    </w:p>
    <w:p w:rsidR="00B53BB1" w:rsidRDefault="00000000">
      <w:pPr>
        <w:pStyle w:val="a4"/>
      </w:pPr>
      <w:bookmarkStart w:id="51" w:name="_Toc179963345"/>
      <w:bookmarkStart w:id="52" w:name="_Toc180252804"/>
      <w:bookmarkStart w:id="53" w:name="_Toc166084677"/>
      <w:bookmarkStart w:id="54" w:name="_Toc11845"/>
      <w:r>
        <w:rPr>
          <w:rFonts w:hint="eastAsia"/>
        </w:rPr>
        <w:t>通用要求</w:t>
      </w:r>
      <w:bookmarkEnd w:id="51"/>
      <w:bookmarkEnd w:id="52"/>
      <w:bookmarkEnd w:id="53"/>
    </w:p>
    <w:p w:rsidR="00B53BB1" w:rsidRDefault="00000000">
      <w:pPr>
        <w:pStyle w:val="aff4"/>
        <w:numPr>
          <w:ilvl w:val="2"/>
          <w:numId w:val="1"/>
        </w:numPr>
        <w:spacing w:before="156" w:after="156"/>
      </w:pPr>
      <w:bookmarkStart w:id="55" w:name="_Toc180252805"/>
      <w:r>
        <w:rPr>
          <w:rFonts w:hint="eastAsia"/>
        </w:rPr>
        <w:t>基本性能</w:t>
      </w:r>
      <w:bookmarkEnd w:id="55"/>
    </w:p>
    <w:p w:rsidR="00B53BB1" w:rsidRDefault="00000000">
      <w:pPr>
        <w:pStyle w:val="aff6"/>
        <w:ind w:firstLine="420"/>
        <w:rPr>
          <w:rFonts w:hAnsi="宋体" w:hint="eastAsia"/>
        </w:rPr>
      </w:pPr>
      <w:r>
        <w:rPr>
          <w:rFonts w:hAnsi="宋体" w:hint="eastAsia"/>
        </w:rPr>
        <w:t>发生器的性能应满足以下要求：</w:t>
      </w:r>
    </w:p>
    <w:p w:rsidR="00B53BB1" w:rsidRDefault="00000000">
      <w:pPr>
        <w:pStyle w:val="aff6"/>
        <w:numPr>
          <w:ilvl w:val="0"/>
          <w:numId w:val="5"/>
        </w:numPr>
        <w:ind w:leftChars="200" w:left="840" w:firstLineChars="0" w:hanging="420"/>
        <w:rPr>
          <w:rFonts w:hAnsi="宋体" w:hint="eastAsia"/>
        </w:rPr>
      </w:pPr>
      <w:r>
        <w:rPr>
          <w:rFonts w:hAnsi="宋体" w:hint="eastAsia"/>
        </w:rPr>
        <w:t>电荷耦合器件相机（charge-coupled device camera</w:t>
      </w:r>
      <w:r>
        <w:rPr>
          <w:rFonts w:hAnsi="宋体"/>
        </w:rPr>
        <w:t>）</w:t>
      </w:r>
      <w:r>
        <w:rPr>
          <w:rFonts w:hAnsi="宋体" w:hint="eastAsia"/>
        </w:rPr>
        <w:t>无破损，同轴光源可照亮喷头，微型三维位移台可以有效的调节镜头的焦距和观测范围；</w:t>
      </w:r>
    </w:p>
    <w:p w:rsidR="00B53BB1" w:rsidRDefault="00000000">
      <w:pPr>
        <w:pStyle w:val="aff6"/>
        <w:numPr>
          <w:ilvl w:val="0"/>
          <w:numId w:val="5"/>
        </w:numPr>
        <w:ind w:leftChars="200" w:left="840" w:firstLineChars="0" w:hanging="420"/>
        <w:rPr>
          <w:rFonts w:hAnsi="宋体" w:hint="eastAsia"/>
        </w:rPr>
      </w:pPr>
      <w:r>
        <w:rPr>
          <w:rFonts w:hAnsi="宋体" w:hint="eastAsia"/>
        </w:rPr>
        <w:t>压电喷头无磕碰，无破损，无堵塞，可发生液滴；</w:t>
      </w:r>
    </w:p>
    <w:p w:rsidR="00B53BB1" w:rsidRDefault="00000000">
      <w:pPr>
        <w:pStyle w:val="aff6"/>
        <w:numPr>
          <w:ilvl w:val="0"/>
          <w:numId w:val="5"/>
        </w:numPr>
        <w:ind w:leftChars="200" w:left="840" w:firstLineChars="0" w:hanging="420"/>
        <w:rPr>
          <w:rFonts w:hAnsi="宋体" w:hint="eastAsia"/>
        </w:rPr>
      </w:pPr>
      <w:r>
        <w:rPr>
          <w:rFonts w:hAnsi="宋体" w:hint="eastAsia"/>
        </w:rPr>
        <w:t>加热温度可在30℃～200℃范围内设定。</w:t>
      </w:r>
    </w:p>
    <w:p w:rsidR="00B53BB1" w:rsidRDefault="00000000">
      <w:pPr>
        <w:pStyle w:val="aff4"/>
        <w:numPr>
          <w:ilvl w:val="2"/>
          <w:numId w:val="1"/>
        </w:numPr>
        <w:spacing w:before="156" w:after="156"/>
      </w:pPr>
      <w:bookmarkStart w:id="56" w:name="_Toc180252806"/>
      <w:r>
        <w:rPr>
          <w:rFonts w:hint="eastAsia"/>
        </w:rPr>
        <w:t>操作要求</w:t>
      </w:r>
      <w:bookmarkEnd w:id="56"/>
    </w:p>
    <w:p w:rsidR="00B53BB1" w:rsidRDefault="00000000">
      <w:pPr>
        <w:pStyle w:val="aff6"/>
        <w:numPr>
          <w:ilvl w:val="0"/>
          <w:numId w:val="6"/>
        </w:numPr>
        <w:ind w:leftChars="200" w:left="840" w:firstLineChars="0" w:hanging="420"/>
        <w:rPr>
          <w:rFonts w:hAnsi="宋体" w:hint="eastAsia"/>
        </w:rPr>
      </w:pPr>
      <w:r>
        <w:rPr>
          <w:rFonts w:hAnsi="宋体" w:hint="eastAsia"/>
        </w:rPr>
        <w:t>移动或转动各旋钮时，应缓慢进行；</w:t>
      </w:r>
    </w:p>
    <w:p w:rsidR="00B53BB1" w:rsidRDefault="00000000">
      <w:pPr>
        <w:pStyle w:val="aff6"/>
        <w:numPr>
          <w:ilvl w:val="0"/>
          <w:numId w:val="6"/>
        </w:numPr>
        <w:ind w:leftChars="200" w:left="840" w:firstLineChars="0" w:hanging="420"/>
        <w:rPr>
          <w:rFonts w:hAnsi="宋体" w:hint="eastAsia"/>
        </w:rPr>
      </w:pPr>
      <w:r>
        <w:rPr>
          <w:rFonts w:hAnsi="宋体" w:hint="eastAsia"/>
        </w:rPr>
        <w:t>更换溶液时，应停止触发液滴；</w:t>
      </w:r>
    </w:p>
    <w:p w:rsidR="00B53BB1" w:rsidRDefault="00000000">
      <w:pPr>
        <w:pStyle w:val="aff6"/>
        <w:numPr>
          <w:ilvl w:val="0"/>
          <w:numId w:val="6"/>
        </w:numPr>
        <w:ind w:leftChars="200" w:left="840" w:firstLineChars="0" w:hanging="420"/>
        <w:rPr>
          <w:rFonts w:hAnsi="宋体" w:hint="eastAsia"/>
        </w:rPr>
      </w:pPr>
      <w:r>
        <w:rPr>
          <w:rFonts w:hAnsi="宋体" w:hint="eastAsia"/>
        </w:rPr>
        <w:t>应采用特制棉棒通过上下点触的方式对喷头进行清洁；</w:t>
      </w:r>
    </w:p>
    <w:p w:rsidR="00B53BB1" w:rsidRDefault="00000000">
      <w:pPr>
        <w:pStyle w:val="aff6"/>
        <w:numPr>
          <w:ilvl w:val="0"/>
          <w:numId w:val="6"/>
        </w:numPr>
        <w:ind w:leftChars="200" w:left="840" w:firstLineChars="0" w:hanging="420"/>
        <w:rPr>
          <w:rFonts w:hAnsi="宋体" w:hint="eastAsia"/>
        </w:rPr>
      </w:pPr>
      <w:r>
        <w:rPr>
          <w:rFonts w:hAnsi="宋体" w:hint="eastAsia"/>
        </w:rPr>
        <w:t>应采用专用超声波清洗机的低档位对喷头进行清洗，清洗同时将电压控制器调节至负压状态；</w:t>
      </w:r>
    </w:p>
    <w:p w:rsidR="00B53BB1" w:rsidRDefault="00000000">
      <w:pPr>
        <w:pStyle w:val="aff6"/>
        <w:numPr>
          <w:ilvl w:val="0"/>
          <w:numId w:val="6"/>
        </w:numPr>
        <w:ind w:leftChars="200" w:left="840" w:firstLineChars="0" w:hanging="420"/>
        <w:rPr>
          <w:rFonts w:hAnsi="宋体" w:hint="eastAsia"/>
        </w:rPr>
      </w:pPr>
      <w:r>
        <w:rPr>
          <w:rFonts w:hAnsi="宋体" w:hint="eastAsia"/>
        </w:rPr>
        <w:t>操作结束后，调节至负压以清空装置并将储液瓶中残留液体回收，应保证储液瓶及进液管无残留液体。</w:t>
      </w:r>
    </w:p>
    <w:p w:rsidR="00B53BB1" w:rsidRDefault="00000000">
      <w:pPr>
        <w:pStyle w:val="aff6"/>
        <w:numPr>
          <w:ilvl w:val="0"/>
          <w:numId w:val="6"/>
        </w:numPr>
        <w:ind w:leftChars="200" w:left="840" w:firstLineChars="0" w:hanging="420"/>
        <w:rPr>
          <w:rFonts w:hAnsi="宋体" w:hint="eastAsia"/>
        </w:rPr>
      </w:pPr>
      <w:r>
        <w:rPr>
          <w:rFonts w:hAnsi="宋体" w:hint="eastAsia"/>
        </w:rPr>
        <w:t>不应在仪器上放置重物；</w:t>
      </w:r>
    </w:p>
    <w:p w:rsidR="00B53BB1" w:rsidRDefault="00000000">
      <w:pPr>
        <w:pStyle w:val="aff6"/>
        <w:numPr>
          <w:ilvl w:val="0"/>
          <w:numId w:val="6"/>
        </w:numPr>
        <w:ind w:leftChars="200" w:left="840" w:firstLineChars="0" w:hanging="420"/>
        <w:rPr>
          <w:rFonts w:hAnsi="宋体" w:hint="eastAsia"/>
        </w:rPr>
      </w:pPr>
      <w:r>
        <w:rPr>
          <w:rFonts w:hAnsi="宋体" w:hint="eastAsia"/>
        </w:rPr>
        <w:t>移动仪器时，拔下电源线；</w:t>
      </w:r>
    </w:p>
    <w:p w:rsidR="00B53BB1" w:rsidRDefault="00000000">
      <w:pPr>
        <w:pStyle w:val="aff6"/>
        <w:numPr>
          <w:ilvl w:val="0"/>
          <w:numId w:val="6"/>
        </w:numPr>
        <w:ind w:leftChars="200" w:left="840" w:firstLineChars="0" w:hanging="420"/>
        <w:rPr>
          <w:rFonts w:hAnsi="宋体" w:hint="eastAsia"/>
        </w:rPr>
      </w:pPr>
      <w:r>
        <w:rPr>
          <w:rFonts w:hAnsi="宋体" w:hint="eastAsia"/>
        </w:rPr>
        <w:t>使用完毕应及时切断电源</w:t>
      </w:r>
      <w:r>
        <w:rPr>
          <w:rFonts w:hAnsi="宋体" w:hint="eastAsia"/>
          <w:lang w:val="zh-CN"/>
        </w:rPr>
        <w:t>。</w:t>
      </w:r>
    </w:p>
    <w:p w:rsidR="00B53BB1" w:rsidRDefault="00000000">
      <w:pPr>
        <w:pStyle w:val="aff5"/>
        <w:numPr>
          <w:ilvl w:val="1"/>
          <w:numId w:val="1"/>
        </w:numPr>
        <w:spacing w:before="312" w:after="312"/>
        <w:ind w:left="0"/>
      </w:pPr>
      <w:bookmarkStart w:id="57" w:name="_Toc180252807"/>
      <w:bookmarkStart w:id="58" w:name="_Hlk179813055"/>
      <w:bookmarkEnd w:id="54"/>
      <w:r>
        <w:rPr>
          <w:rFonts w:hint="eastAsia"/>
        </w:rPr>
        <w:t>技术要求</w:t>
      </w:r>
      <w:bookmarkEnd w:id="57"/>
    </w:p>
    <w:p w:rsidR="00B53BB1" w:rsidRDefault="00000000">
      <w:pPr>
        <w:pStyle w:val="aff4"/>
        <w:numPr>
          <w:ilvl w:val="2"/>
          <w:numId w:val="1"/>
        </w:numPr>
        <w:spacing w:before="156" w:after="156"/>
      </w:pPr>
      <w:bookmarkStart w:id="59" w:name="_Toc180252808"/>
      <w:r>
        <w:rPr>
          <w:rFonts w:hint="eastAsia"/>
        </w:rPr>
        <w:t>工作条件</w:t>
      </w:r>
      <w:bookmarkEnd w:id="59"/>
    </w:p>
    <w:p w:rsidR="00B53BB1" w:rsidRDefault="00000000">
      <w:pPr>
        <w:ind w:firstLineChars="200" w:firstLine="420"/>
      </w:pPr>
      <w:bookmarkStart w:id="60" w:name="_Toc17377270"/>
      <w:bookmarkStart w:id="61" w:name="_Toc39437329"/>
      <w:r>
        <w:rPr>
          <w:rFonts w:hint="eastAsia"/>
        </w:rPr>
        <w:t>发生器正常工作条件应符合下列要求：</w:t>
      </w:r>
    </w:p>
    <w:p w:rsidR="00B53BB1" w:rsidRDefault="00000000">
      <w:pPr>
        <w:pStyle w:val="afb"/>
        <w:numPr>
          <w:ilvl w:val="0"/>
          <w:numId w:val="7"/>
        </w:numPr>
        <w:ind w:leftChars="200" w:left="840" w:firstLineChars="0" w:hanging="420"/>
        <w:rPr>
          <w:rFonts w:ascii="宋体" w:eastAsia="宋体" w:hAnsi="宋体" w:cs="宋体" w:hint="eastAsia"/>
        </w:rPr>
      </w:pPr>
      <w:r>
        <w:rPr>
          <w:rFonts w:ascii="宋体" w:eastAsia="宋体" w:hAnsi="宋体" w:cs="宋体" w:hint="eastAsia"/>
        </w:rPr>
        <w:t>环境温度：20 ℃～30 ℃；</w:t>
      </w:r>
    </w:p>
    <w:p w:rsidR="00B53BB1" w:rsidRDefault="00000000">
      <w:pPr>
        <w:pStyle w:val="afb"/>
        <w:numPr>
          <w:ilvl w:val="0"/>
          <w:numId w:val="7"/>
        </w:numPr>
        <w:ind w:leftChars="200" w:left="840" w:firstLineChars="0" w:hanging="420"/>
        <w:rPr>
          <w:rFonts w:ascii="宋体" w:eastAsia="宋体" w:hAnsi="宋体" w:cs="宋体" w:hint="eastAsia"/>
        </w:rPr>
      </w:pPr>
      <w:r>
        <w:rPr>
          <w:rFonts w:ascii="宋体" w:eastAsia="宋体" w:hAnsi="宋体" w:cs="宋体" w:hint="eastAsia"/>
        </w:rPr>
        <w:t>相对湿度：0% RH ～80% RH；</w:t>
      </w:r>
    </w:p>
    <w:p w:rsidR="00B53BB1" w:rsidRDefault="00000000">
      <w:pPr>
        <w:pStyle w:val="afb"/>
        <w:numPr>
          <w:ilvl w:val="0"/>
          <w:numId w:val="7"/>
        </w:numPr>
        <w:ind w:leftChars="200" w:left="840" w:firstLineChars="0" w:hanging="420"/>
        <w:rPr>
          <w:rFonts w:ascii="宋体" w:eastAsia="宋体" w:hAnsi="宋体" w:cs="宋体" w:hint="eastAsia"/>
        </w:rPr>
      </w:pPr>
      <w:r>
        <w:rPr>
          <w:rFonts w:ascii="宋体" w:eastAsia="宋体" w:hAnsi="宋体" w:cs="宋体" w:hint="eastAsia"/>
        </w:rPr>
        <w:t>工作电源：具有良好接地，电压 220 V±22 V，频率 50 Hz±l Hz；</w:t>
      </w:r>
    </w:p>
    <w:p w:rsidR="00B53BB1" w:rsidRDefault="00000000">
      <w:pPr>
        <w:pStyle w:val="afb"/>
        <w:numPr>
          <w:ilvl w:val="0"/>
          <w:numId w:val="7"/>
        </w:numPr>
        <w:ind w:leftChars="200" w:left="840" w:firstLineChars="0" w:hanging="420"/>
        <w:rPr>
          <w:rFonts w:ascii="宋体" w:eastAsia="宋体" w:hAnsi="宋体" w:cs="宋体" w:hint="eastAsia"/>
        </w:rPr>
      </w:pPr>
      <w:r>
        <w:rPr>
          <w:rFonts w:ascii="宋体" w:eastAsia="宋体" w:hAnsi="宋体" w:cs="宋体" w:hint="eastAsia"/>
        </w:rPr>
        <w:t>仪器不应受强光直射、震动和电磁干扰。</w:t>
      </w:r>
    </w:p>
    <w:p w:rsidR="00B53BB1" w:rsidRDefault="00000000">
      <w:pPr>
        <w:pStyle w:val="aff4"/>
        <w:numPr>
          <w:ilvl w:val="2"/>
          <w:numId w:val="1"/>
        </w:numPr>
        <w:spacing w:before="156" w:after="156"/>
      </w:pPr>
      <w:bookmarkStart w:id="62" w:name="_Toc180252809"/>
      <w:bookmarkEnd w:id="60"/>
      <w:bookmarkEnd w:id="61"/>
      <w:r>
        <w:rPr>
          <w:rFonts w:hint="eastAsia"/>
        </w:rPr>
        <w:lastRenderedPageBreak/>
        <w:t>试剂</w:t>
      </w:r>
      <w:bookmarkEnd w:id="62"/>
    </w:p>
    <w:p w:rsidR="00B53BB1" w:rsidRDefault="00000000">
      <w:pPr>
        <w:pStyle w:val="aff6"/>
        <w:ind w:firstLine="420"/>
      </w:pPr>
      <w:r>
        <w:rPr>
          <w:rFonts w:hint="eastAsia"/>
        </w:rPr>
        <w:t>试剂如表1所示。</w:t>
      </w:r>
    </w:p>
    <w:p w:rsidR="00B53BB1" w:rsidRDefault="00000000">
      <w:pPr>
        <w:pStyle w:val="afff1"/>
        <w:adjustRightInd w:val="0"/>
        <w:snapToGrid w:val="0"/>
        <w:spacing w:before="156" w:after="156"/>
        <w:rPr>
          <w:rFonts w:hAnsi="黑体" w:hint="eastAsia"/>
          <w:lang w:val="zh-CN"/>
        </w:rPr>
      </w:pPr>
      <w:r>
        <w:rPr>
          <w:rFonts w:hAnsi="黑体" w:hint="eastAsia"/>
          <w:lang w:val="zh-CN"/>
        </w:rPr>
        <w:t xml:space="preserve">表1 </w:t>
      </w:r>
      <w:r>
        <w:rPr>
          <w:rFonts w:hAnsi="黑体" w:hint="eastAsia"/>
        </w:rPr>
        <w:t xml:space="preserve"> </w:t>
      </w:r>
      <w:r>
        <w:rPr>
          <w:rFonts w:hAnsi="黑体" w:hint="eastAsia"/>
          <w:lang w:val="zh-CN"/>
        </w:rPr>
        <w:t>试剂</w:t>
      </w:r>
    </w:p>
    <w:tbl>
      <w:tblPr>
        <w:tblW w:w="4552"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3939"/>
        <w:gridCol w:w="4550"/>
      </w:tblGrid>
      <w:tr w:rsidR="00B53BB1">
        <w:trPr>
          <w:trHeight w:val="340"/>
          <w:jc w:val="center"/>
        </w:trPr>
        <w:tc>
          <w:tcPr>
            <w:tcW w:w="2320" w:type="pct"/>
            <w:tcBorders>
              <w:tl2br w:val="nil"/>
              <w:tr2bl w:val="nil"/>
            </w:tcBorders>
            <w:shd w:val="clear" w:color="auto" w:fill="auto"/>
            <w:vAlign w:val="center"/>
          </w:tcPr>
          <w:bookmarkEnd w:id="58"/>
          <w:p w:rsidR="00B53BB1" w:rsidRDefault="00000000">
            <w:pPr>
              <w:adjustRightInd w:val="0"/>
              <w:snapToGrid w:val="0"/>
              <w:jc w:val="center"/>
              <w:rPr>
                <w:rFonts w:ascii="宋体" w:hAnsi="宋体" w:hint="eastAsia"/>
                <w:sz w:val="18"/>
                <w:szCs w:val="18"/>
              </w:rPr>
            </w:pPr>
            <w:r>
              <w:rPr>
                <w:rFonts w:ascii="宋体" w:hAnsi="宋体" w:hint="eastAsia"/>
                <w:sz w:val="18"/>
                <w:szCs w:val="18"/>
              </w:rPr>
              <w:t>有机溶剂</w:t>
            </w:r>
          </w:p>
        </w:tc>
        <w:tc>
          <w:tcPr>
            <w:tcW w:w="2680" w:type="pct"/>
            <w:tcBorders>
              <w:tl2br w:val="nil"/>
              <w:tr2bl w:val="nil"/>
            </w:tcBorders>
            <w:shd w:val="clear" w:color="auto" w:fill="auto"/>
            <w:vAlign w:val="center"/>
          </w:tcPr>
          <w:p w:rsidR="00B53BB1" w:rsidRDefault="00000000">
            <w:pPr>
              <w:adjustRightInd w:val="0"/>
              <w:snapToGrid w:val="0"/>
              <w:jc w:val="center"/>
              <w:rPr>
                <w:rFonts w:ascii="宋体" w:hAnsi="宋体" w:hint="eastAsia"/>
                <w:sz w:val="18"/>
              </w:rPr>
            </w:pPr>
            <w:r>
              <w:rPr>
                <w:rFonts w:ascii="宋体" w:hAnsi="宋体" w:hint="eastAsia"/>
                <w:sz w:val="18"/>
              </w:rPr>
              <w:t>酮类、醇类、芳烃类、脂肪族化合物、偶极溶剂等</w:t>
            </w:r>
          </w:p>
        </w:tc>
      </w:tr>
      <w:tr w:rsidR="00B53BB1">
        <w:trPr>
          <w:trHeight w:val="340"/>
          <w:jc w:val="center"/>
        </w:trPr>
        <w:tc>
          <w:tcPr>
            <w:tcW w:w="2320" w:type="pct"/>
            <w:tcBorders>
              <w:tl2br w:val="nil"/>
              <w:tr2bl w:val="nil"/>
            </w:tcBorders>
            <w:shd w:val="clear" w:color="auto" w:fill="auto"/>
            <w:vAlign w:val="center"/>
          </w:tcPr>
          <w:p w:rsidR="00B53BB1" w:rsidRDefault="00000000">
            <w:pPr>
              <w:adjustRightInd w:val="0"/>
              <w:snapToGrid w:val="0"/>
              <w:jc w:val="center"/>
              <w:rPr>
                <w:rFonts w:ascii="宋体" w:hAnsi="宋体" w:hint="eastAsia"/>
                <w:sz w:val="18"/>
              </w:rPr>
            </w:pPr>
            <w:r>
              <w:rPr>
                <w:rFonts w:ascii="宋体" w:hAnsi="宋体" w:hint="eastAsia"/>
                <w:sz w:val="18"/>
              </w:rPr>
              <w:t>含水缓冲剂</w:t>
            </w:r>
          </w:p>
        </w:tc>
        <w:tc>
          <w:tcPr>
            <w:tcW w:w="2680" w:type="pct"/>
            <w:tcBorders>
              <w:tl2br w:val="nil"/>
              <w:tr2bl w:val="nil"/>
            </w:tcBorders>
            <w:shd w:val="clear" w:color="auto" w:fill="auto"/>
            <w:vAlign w:val="center"/>
          </w:tcPr>
          <w:p w:rsidR="00B53BB1" w:rsidRDefault="00000000">
            <w:pPr>
              <w:adjustRightInd w:val="0"/>
              <w:snapToGrid w:val="0"/>
              <w:jc w:val="center"/>
              <w:rPr>
                <w:rFonts w:ascii="宋体" w:hAnsi="宋体" w:hint="eastAsia"/>
                <w:sz w:val="18"/>
              </w:rPr>
            </w:pPr>
            <w:r>
              <w:rPr>
                <w:rFonts w:ascii="宋体" w:hAnsi="宋体" w:hint="eastAsia"/>
                <w:sz w:val="18"/>
              </w:rPr>
              <w:t>蛋白质、核酸、细胞、细菌等</w:t>
            </w:r>
          </w:p>
        </w:tc>
      </w:tr>
      <w:tr w:rsidR="00B53BB1">
        <w:trPr>
          <w:trHeight w:val="340"/>
          <w:jc w:val="center"/>
        </w:trPr>
        <w:tc>
          <w:tcPr>
            <w:tcW w:w="2320" w:type="pct"/>
            <w:tcBorders>
              <w:tl2br w:val="nil"/>
              <w:tr2bl w:val="nil"/>
            </w:tcBorders>
            <w:shd w:val="clear" w:color="auto" w:fill="auto"/>
            <w:vAlign w:val="center"/>
          </w:tcPr>
          <w:p w:rsidR="00B53BB1" w:rsidRDefault="00000000">
            <w:pPr>
              <w:adjustRightInd w:val="0"/>
              <w:snapToGrid w:val="0"/>
              <w:jc w:val="center"/>
              <w:rPr>
                <w:rFonts w:ascii="宋体" w:hAnsi="宋体" w:hint="eastAsia"/>
                <w:sz w:val="18"/>
              </w:rPr>
            </w:pPr>
            <w:r>
              <w:rPr>
                <w:rFonts w:ascii="宋体" w:hAnsi="宋体" w:hint="eastAsia"/>
                <w:sz w:val="18"/>
              </w:rPr>
              <w:t>粒子悬浮物</w:t>
            </w:r>
          </w:p>
        </w:tc>
        <w:tc>
          <w:tcPr>
            <w:tcW w:w="2680" w:type="pct"/>
            <w:tcBorders>
              <w:tl2br w:val="nil"/>
              <w:tr2bl w:val="nil"/>
            </w:tcBorders>
            <w:shd w:val="clear" w:color="auto" w:fill="auto"/>
            <w:vAlign w:val="center"/>
          </w:tcPr>
          <w:p w:rsidR="00B53BB1" w:rsidRDefault="00000000">
            <w:pPr>
              <w:adjustRightInd w:val="0"/>
              <w:snapToGrid w:val="0"/>
              <w:jc w:val="center"/>
              <w:rPr>
                <w:rFonts w:ascii="宋体" w:hAnsi="宋体" w:hint="eastAsia"/>
                <w:sz w:val="18"/>
              </w:rPr>
            </w:pPr>
            <w:r>
              <w:rPr>
                <w:rFonts w:ascii="宋体" w:hAnsi="宋体" w:hint="eastAsia"/>
                <w:sz w:val="18"/>
              </w:rPr>
              <w:t>乳胶球、金属纳米粒子等</w:t>
            </w:r>
          </w:p>
        </w:tc>
      </w:tr>
      <w:tr w:rsidR="00B53BB1">
        <w:trPr>
          <w:trHeight w:val="340"/>
          <w:jc w:val="center"/>
        </w:trPr>
        <w:tc>
          <w:tcPr>
            <w:tcW w:w="2320" w:type="pct"/>
            <w:tcBorders>
              <w:tl2br w:val="nil"/>
              <w:tr2bl w:val="nil"/>
            </w:tcBorders>
            <w:shd w:val="clear" w:color="auto" w:fill="auto"/>
            <w:vAlign w:val="center"/>
          </w:tcPr>
          <w:p w:rsidR="00B53BB1" w:rsidRDefault="00000000">
            <w:pPr>
              <w:adjustRightInd w:val="0"/>
              <w:snapToGrid w:val="0"/>
              <w:jc w:val="center"/>
              <w:rPr>
                <w:rFonts w:ascii="宋体" w:hAnsi="宋体" w:hint="eastAsia"/>
                <w:sz w:val="18"/>
              </w:rPr>
            </w:pPr>
            <w:r>
              <w:rPr>
                <w:rFonts w:ascii="宋体" w:hAnsi="宋体" w:hint="eastAsia"/>
                <w:sz w:val="18"/>
              </w:rPr>
              <w:t>其他生物制品</w:t>
            </w:r>
          </w:p>
        </w:tc>
        <w:tc>
          <w:tcPr>
            <w:tcW w:w="2680" w:type="pct"/>
            <w:tcBorders>
              <w:tl2br w:val="nil"/>
              <w:tr2bl w:val="nil"/>
            </w:tcBorders>
            <w:shd w:val="clear" w:color="auto" w:fill="auto"/>
            <w:vAlign w:val="center"/>
          </w:tcPr>
          <w:p w:rsidR="00B53BB1" w:rsidRDefault="00000000">
            <w:pPr>
              <w:adjustRightInd w:val="0"/>
              <w:snapToGrid w:val="0"/>
              <w:jc w:val="center"/>
              <w:rPr>
                <w:rFonts w:ascii="宋体" w:hAnsi="宋体" w:hint="eastAsia"/>
                <w:sz w:val="18"/>
              </w:rPr>
            </w:pPr>
            <w:r>
              <w:rPr>
                <w:rFonts w:ascii="宋体" w:hAnsi="宋体" w:hint="eastAsia"/>
                <w:sz w:val="18"/>
              </w:rPr>
              <w:t>脂类、氨基酸、可生物降解的聚合物等</w:t>
            </w:r>
          </w:p>
        </w:tc>
      </w:tr>
      <w:tr w:rsidR="00B53BB1">
        <w:trPr>
          <w:trHeight w:val="340"/>
          <w:jc w:val="center"/>
        </w:trPr>
        <w:tc>
          <w:tcPr>
            <w:tcW w:w="2320" w:type="pct"/>
            <w:tcBorders>
              <w:tl2br w:val="nil"/>
              <w:tr2bl w:val="nil"/>
            </w:tcBorders>
            <w:shd w:val="clear" w:color="auto" w:fill="auto"/>
            <w:vAlign w:val="center"/>
          </w:tcPr>
          <w:p w:rsidR="00B53BB1" w:rsidRDefault="00000000">
            <w:pPr>
              <w:adjustRightInd w:val="0"/>
              <w:snapToGrid w:val="0"/>
              <w:jc w:val="center"/>
              <w:rPr>
                <w:rFonts w:ascii="宋体" w:hAnsi="宋体" w:hint="eastAsia"/>
                <w:sz w:val="18"/>
              </w:rPr>
            </w:pPr>
            <w:r>
              <w:rPr>
                <w:rFonts w:ascii="宋体" w:hAnsi="宋体" w:hint="eastAsia"/>
                <w:sz w:val="18"/>
              </w:rPr>
              <w:t>其他</w:t>
            </w:r>
          </w:p>
        </w:tc>
        <w:tc>
          <w:tcPr>
            <w:tcW w:w="2680" w:type="pct"/>
            <w:tcBorders>
              <w:tl2br w:val="nil"/>
              <w:tr2bl w:val="nil"/>
            </w:tcBorders>
            <w:shd w:val="clear" w:color="auto" w:fill="auto"/>
            <w:vAlign w:val="center"/>
          </w:tcPr>
          <w:p w:rsidR="00B53BB1" w:rsidRDefault="00000000">
            <w:pPr>
              <w:adjustRightInd w:val="0"/>
              <w:snapToGrid w:val="0"/>
              <w:jc w:val="center"/>
              <w:rPr>
                <w:rFonts w:ascii="宋体" w:hAnsi="宋体" w:hint="eastAsia"/>
                <w:sz w:val="18"/>
              </w:rPr>
            </w:pPr>
            <w:r>
              <w:rPr>
                <w:rFonts w:ascii="宋体" w:hAnsi="宋体" w:hint="eastAsia"/>
                <w:sz w:val="18"/>
              </w:rPr>
              <w:t>溶胶-凝胶、水性粘合剂等</w:t>
            </w:r>
          </w:p>
        </w:tc>
      </w:tr>
    </w:tbl>
    <w:p w:rsidR="00B53BB1" w:rsidRDefault="00B53BB1">
      <w:pPr>
        <w:pStyle w:val="aff6"/>
        <w:ind w:firstLine="420"/>
      </w:pPr>
      <w:bookmarkStart w:id="63" w:name="_Toc17377272"/>
      <w:bookmarkStart w:id="64" w:name="_Toc39437330"/>
      <w:bookmarkStart w:id="65" w:name="_Toc180252810"/>
    </w:p>
    <w:bookmarkEnd w:id="63"/>
    <w:bookmarkEnd w:id="64"/>
    <w:bookmarkEnd w:id="65"/>
    <w:p w:rsidR="00B53BB1" w:rsidRDefault="00000000">
      <w:pPr>
        <w:pStyle w:val="aff4"/>
        <w:numPr>
          <w:ilvl w:val="2"/>
          <w:numId w:val="1"/>
        </w:numPr>
        <w:spacing w:before="156" w:after="156"/>
      </w:pPr>
      <w:r>
        <w:rPr>
          <w:rFonts w:hint="eastAsia"/>
        </w:rPr>
        <w:t>技术要求</w:t>
      </w:r>
    </w:p>
    <w:p w:rsidR="00B53BB1" w:rsidRDefault="00000000">
      <w:pPr>
        <w:pStyle w:val="aff4"/>
        <w:numPr>
          <w:ilvl w:val="3"/>
          <w:numId w:val="1"/>
        </w:numPr>
        <w:spacing w:before="156" w:after="156"/>
      </w:pPr>
      <w:bookmarkStart w:id="66" w:name="_Toc166084676"/>
      <w:bookmarkStart w:id="67" w:name="_Toc179963344"/>
      <w:bookmarkStart w:id="68" w:name="_Toc180252811"/>
      <w:bookmarkStart w:id="69" w:name="_Toc16705"/>
      <w:r>
        <w:rPr>
          <w:rFonts w:hint="eastAsia"/>
        </w:rPr>
        <w:t>外观</w:t>
      </w:r>
      <w:bookmarkEnd w:id="66"/>
      <w:bookmarkEnd w:id="67"/>
      <w:bookmarkEnd w:id="68"/>
      <w:bookmarkEnd w:id="69"/>
    </w:p>
    <w:p w:rsidR="00B53BB1" w:rsidRDefault="00000000">
      <w:pPr>
        <w:pStyle w:val="aff6"/>
        <w:ind w:firstLine="420"/>
        <w:rPr>
          <w:rFonts w:hAnsi="宋体" w:hint="eastAsia"/>
        </w:rPr>
      </w:pPr>
      <w:r>
        <w:rPr>
          <w:rFonts w:hAnsi="宋体" w:hint="eastAsia"/>
        </w:rPr>
        <w:t>发生器的外观应满足如下要求：</w:t>
      </w:r>
    </w:p>
    <w:p w:rsidR="00B53BB1" w:rsidRDefault="00000000">
      <w:pPr>
        <w:pStyle w:val="aff6"/>
        <w:numPr>
          <w:ilvl w:val="0"/>
          <w:numId w:val="8"/>
        </w:numPr>
        <w:ind w:leftChars="200" w:left="840" w:firstLineChars="0" w:hanging="420"/>
        <w:rPr>
          <w:rFonts w:hAnsi="宋体" w:hint="eastAsia"/>
        </w:rPr>
      </w:pPr>
      <w:r>
        <w:rPr>
          <w:rFonts w:hAnsi="宋体" w:hint="eastAsia"/>
        </w:rPr>
        <w:t>发生器的外观整齐、清洁、表面涂镀层无明显剥落、擦伤、露底及污垢；</w:t>
      </w:r>
    </w:p>
    <w:p w:rsidR="00B53BB1" w:rsidRDefault="00000000">
      <w:pPr>
        <w:pStyle w:val="aff6"/>
        <w:numPr>
          <w:ilvl w:val="0"/>
          <w:numId w:val="8"/>
        </w:numPr>
        <w:ind w:leftChars="200" w:left="840" w:firstLineChars="0" w:hanging="420"/>
        <w:rPr>
          <w:rFonts w:hAnsi="宋体" w:hint="eastAsia"/>
        </w:rPr>
      </w:pPr>
      <w:r>
        <w:rPr>
          <w:rFonts w:hAnsi="宋体" w:hint="eastAsia"/>
        </w:rPr>
        <w:t>发生器表面应无明显缺陷，各部件连接可靠，各操作键和按钮灵活有效；</w:t>
      </w:r>
    </w:p>
    <w:p w:rsidR="00B53BB1" w:rsidRDefault="00000000">
      <w:pPr>
        <w:pStyle w:val="aff6"/>
        <w:numPr>
          <w:ilvl w:val="0"/>
          <w:numId w:val="8"/>
        </w:numPr>
        <w:ind w:leftChars="200" w:left="840" w:firstLineChars="0" w:hanging="420"/>
        <w:rPr>
          <w:rFonts w:hAnsi="宋体" w:hint="eastAsia"/>
        </w:rPr>
      </w:pPr>
      <w:r>
        <w:rPr>
          <w:rFonts w:hAnsi="宋体" w:hint="eastAsia"/>
        </w:rPr>
        <w:t>零件表面不得锈蚀。</w:t>
      </w:r>
    </w:p>
    <w:p w:rsidR="00B53BB1" w:rsidRDefault="00000000">
      <w:pPr>
        <w:pStyle w:val="aff4"/>
        <w:numPr>
          <w:ilvl w:val="3"/>
          <w:numId w:val="1"/>
        </w:numPr>
        <w:spacing w:before="156" w:after="156"/>
      </w:pPr>
      <w:bookmarkStart w:id="70" w:name="_Toc180252812"/>
      <w:bookmarkStart w:id="71" w:name="_Toc24211"/>
      <w:r>
        <w:rPr>
          <w:rFonts w:hint="eastAsia"/>
        </w:rPr>
        <w:t>气路气密性</w:t>
      </w:r>
      <w:bookmarkEnd w:id="70"/>
      <w:bookmarkEnd w:id="71"/>
    </w:p>
    <w:p w:rsidR="00B53BB1" w:rsidRDefault="00000000">
      <w:pPr>
        <w:pStyle w:val="aff4"/>
        <w:spacing w:beforeLines="0" w:before="0" w:afterLines="0" w:after="0"/>
        <w:ind w:left="0" w:firstLineChars="200" w:firstLine="420"/>
        <w:rPr>
          <w:rFonts w:ascii="宋体" w:eastAsia="宋体" w:hAnsi="宋体" w:cs="宋体" w:hint="eastAsia"/>
        </w:rPr>
      </w:pPr>
      <w:bookmarkStart w:id="72" w:name="_Toc180252813"/>
      <w:bookmarkStart w:id="73" w:name="_Toc8284"/>
      <w:bookmarkStart w:id="74" w:name="_Toc17377273"/>
      <w:r>
        <w:rPr>
          <w:rFonts w:ascii="宋体" w:eastAsia="宋体" w:hAnsi="宋体" w:cs="宋体" w:hint="eastAsia"/>
        </w:rPr>
        <w:t>在压差为3000 Pa的条件下，1min内压差降应不超过5 Pa。</w:t>
      </w:r>
      <w:bookmarkEnd w:id="72"/>
      <w:bookmarkEnd w:id="73"/>
    </w:p>
    <w:p w:rsidR="00B53BB1" w:rsidRDefault="00000000">
      <w:pPr>
        <w:pStyle w:val="aff4"/>
        <w:numPr>
          <w:ilvl w:val="3"/>
          <w:numId w:val="1"/>
        </w:numPr>
        <w:spacing w:before="156" w:after="156"/>
      </w:pPr>
      <w:bookmarkStart w:id="75" w:name="_Toc180252814"/>
      <w:bookmarkStart w:id="76" w:name="_Toc10167"/>
      <w:bookmarkStart w:id="77" w:name="_Toc179963348"/>
      <w:bookmarkStart w:id="78" w:name="_Toc166084678"/>
      <w:bookmarkEnd w:id="74"/>
      <w:r>
        <w:rPr>
          <w:rFonts w:hint="eastAsia"/>
        </w:rPr>
        <w:t>粒径准确性</w:t>
      </w:r>
      <w:bookmarkEnd w:id="75"/>
      <w:bookmarkEnd w:id="76"/>
      <w:bookmarkEnd w:id="77"/>
    </w:p>
    <w:bookmarkEnd w:id="78"/>
    <w:p w:rsidR="00B53BB1" w:rsidRDefault="00000000">
      <w:pPr>
        <w:pStyle w:val="aff6"/>
        <w:ind w:firstLine="420"/>
        <w:rPr>
          <w:rFonts w:hAnsi="宋体" w:cs="宋体" w:hint="eastAsia"/>
        </w:rPr>
      </w:pPr>
      <w:r>
        <w:rPr>
          <w:rFonts w:hAnsi="宋体" w:cs="宋体" w:hint="eastAsia"/>
        </w:rPr>
        <w:t>使用推荐的发生参数及溶液，发生器在其标称的粒径范围内可产生单分散的固体气溶胶样品，粒径准确性应不大于10%。</w:t>
      </w:r>
    </w:p>
    <w:p w:rsidR="00B53BB1" w:rsidRDefault="00000000">
      <w:pPr>
        <w:pStyle w:val="aff4"/>
        <w:numPr>
          <w:ilvl w:val="3"/>
          <w:numId w:val="1"/>
        </w:numPr>
        <w:spacing w:before="156" w:after="156"/>
      </w:pPr>
      <w:bookmarkStart w:id="79" w:name="_Toc7602"/>
      <w:bookmarkStart w:id="80" w:name="_Toc166084679"/>
      <w:bookmarkStart w:id="81" w:name="_Toc180252815"/>
      <w:bookmarkStart w:id="82" w:name="_Toc179963349"/>
      <w:r>
        <w:rPr>
          <w:rFonts w:hint="eastAsia"/>
        </w:rPr>
        <w:t>数量浓度准确性</w:t>
      </w:r>
      <w:bookmarkEnd w:id="79"/>
      <w:bookmarkEnd w:id="80"/>
      <w:bookmarkEnd w:id="81"/>
      <w:bookmarkEnd w:id="82"/>
    </w:p>
    <w:p w:rsidR="00B53BB1" w:rsidRDefault="00000000">
      <w:pPr>
        <w:pStyle w:val="aff6"/>
        <w:ind w:firstLine="420"/>
        <w:rPr>
          <w:rFonts w:hAnsi="宋体" w:cs="宋体" w:hint="eastAsia"/>
        </w:rPr>
      </w:pPr>
      <w:r>
        <w:rPr>
          <w:rFonts w:hAnsi="宋体" w:cs="宋体" w:hint="eastAsia"/>
        </w:rPr>
        <w:t>颗粒数量浓度的准确性应不大于10%。</w:t>
      </w:r>
    </w:p>
    <w:p w:rsidR="00B53BB1" w:rsidRDefault="00000000">
      <w:pPr>
        <w:pStyle w:val="aff4"/>
        <w:numPr>
          <w:ilvl w:val="3"/>
          <w:numId w:val="1"/>
        </w:numPr>
        <w:spacing w:before="156" w:after="156"/>
      </w:pPr>
      <w:bookmarkStart w:id="83" w:name="_Toc179963350"/>
      <w:bookmarkStart w:id="84" w:name="_Toc180252816"/>
      <w:bookmarkStart w:id="85" w:name="_Toc271"/>
      <w:r>
        <w:rPr>
          <w:rFonts w:hint="eastAsia"/>
        </w:rPr>
        <w:t>数量浓度稳定性</w:t>
      </w:r>
      <w:bookmarkEnd w:id="83"/>
      <w:bookmarkEnd w:id="84"/>
      <w:bookmarkEnd w:id="85"/>
    </w:p>
    <w:p w:rsidR="00B53BB1" w:rsidRDefault="00000000">
      <w:pPr>
        <w:pStyle w:val="aff6"/>
        <w:ind w:firstLine="420"/>
        <w:rPr>
          <w:rFonts w:hAnsi="宋体" w:cs="宋体" w:hint="eastAsia"/>
        </w:rPr>
      </w:pPr>
      <w:r>
        <w:rPr>
          <w:rFonts w:hAnsi="宋体" w:cs="宋体" w:hint="eastAsia"/>
        </w:rPr>
        <w:t>颗粒数量浓度在1 h内的变化不超过2%。</w:t>
      </w:r>
      <w:bookmarkStart w:id="86" w:name="_Toc180252817"/>
      <w:bookmarkStart w:id="87" w:name="_Toc2752"/>
    </w:p>
    <w:p w:rsidR="00B53BB1" w:rsidRDefault="00000000">
      <w:pPr>
        <w:pStyle w:val="aff4"/>
        <w:numPr>
          <w:ilvl w:val="3"/>
          <w:numId w:val="1"/>
        </w:numPr>
        <w:spacing w:before="156" w:after="156"/>
      </w:pPr>
      <w:r>
        <w:rPr>
          <w:rFonts w:hint="eastAsia"/>
        </w:rPr>
        <w:t>低温贮存</w:t>
      </w:r>
      <w:bookmarkEnd w:id="86"/>
      <w:bookmarkEnd w:id="87"/>
    </w:p>
    <w:p w:rsidR="00B53BB1" w:rsidRDefault="00000000">
      <w:pPr>
        <w:pStyle w:val="aff6"/>
        <w:ind w:firstLine="420"/>
      </w:pPr>
      <w:r>
        <w:rPr>
          <w:rFonts w:ascii="Times New Roman" w:hint="eastAsia"/>
        </w:rPr>
        <w:t>发生器在运输包装状态下</w:t>
      </w:r>
      <w:r>
        <w:rPr>
          <w:rFonts w:hint="eastAsia"/>
        </w:rPr>
        <w:t>低温贮存后能正常工作。</w:t>
      </w:r>
    </w:p>
    <w:p w:rsidR="00B53BB1" w:rsidRDefault="00000000">
      <w:pPr>
        <w:pStyle w:val="aff4"/>
        <w:numPr>
          <w:ilvl w:val="3"/>
          <w:numId w:val="1"/>
        </w:numPr>
        <w:spacing w:before="156" w:after="156"/>
        <w:rPr>
          <w:rFonts w:ascii="Times New Roman"/>
        </w:rPr>
      </w:pPr>
      <w:bookmarkStart w:id="88" w:name="_Toc1858"/>
      <w:bookmarkStart w:id="89" w:name="_Toc180252818"/>
      <w:r>
        <w:rPr>
          <w:rFonts w:ascii="Times New Roman" w:hint="eastAsia"/>
        </w:rPr>
        <w:t>高温贮存</w:t>
      </w:r>
      <w:bookmarkEnd w:id="88"/>
      <w:bookmarkEnd w:id="89"/>
    </w:p>
    <w:p w:rsidR="00B53BB1" w:rsidRDefault="00000000">
      <w:pPr>
        <w:pStyle w:val="aff6"/>
        <w:ind w:firstLine="420"/>
      </w:pPr>
      <w:r>
        <w:rPr>
          <w:rFonts w:ascii="Times New Roman" w:hint="eastAsia"/>
        </w:rPr>
        <w:t>发生器在运输包装状态下</w:t>
      </w:r>
      <w:r>
        <w:rPr>
          <w:rFonts w:hint="eastAsia"/>
        </w:rPr>
        <w:t>高温贮存后能正常工作。</w:t>
      </w:r>
    </w:p>
    <w:p w:rsidR="00B53BB1" w:rsidRDefault="00000000">
      <w:pPr>
        <w:pStyle w:val="aff4"/>
        <w:numPr>
          <w:ilvl w:val="3"/>
          <w:numId w:val="1"/>
        </w:numPr>
        <w:spacing w:before="156" w:after="156"/>
        <w:rPr>
          <w:rFonts w:ascii="Times New Roman"/>
        </w:rPr>
      </w:pPr>
      <w:bookmarkStart w:id="90" w:name="_Toc180252819"/>
      <w:bookmarkStart w:id="91" w:name="_Toc26152"/>
      <w:r>
        <w:rPr>
          <w:rFonts w:ascii="Times New Roman" w:hint="eastAsia"/>
        </w:rPr>
        <w:t>跌落试验</w:t>
      </w:r>
      <w:bookmarkEnd w:id="90"/>
      <w:bookmarkEnd w:id="91"/>
    </w:p>
    <w:p w:rsidR="00B53BB1" w:rsidRDefault="00000000">
      <w:pPr>
        <w:pStyle w:val="aff6"/>
        <w:ind w:firstLine="420"/>
      </w:pPr>
      <w:r>
        <w:rPr>
          <w:rFonts w:ascii="Times New Roman" w:hint="eastAsia"/>
        </w:rPr>
        <w:t>发生器在运输包装状态下</w:t>
      </w:r>
      <w:r>
        <w:rPr>
          <w:rFonts w:hint="eastAsia"/>
        </w:rPr>
        <w:t>跌落试验后</w:t>
      </w:r>
      <w:r>
        <w:rPr>
          <w:rFonts w:ascii="Times New Roman" w:hint="eastAsia"/>
        </w:rPr>
        <w:t>包装箱不应有较大的变形松脱、涂覆层剥落等机械损伤。</w:t>
      </w:r>
    </w:p>
    <w:p w:rsidR="00B53BB1" w:rsidRDefault="00000000">
      <w:pPr>
        <w:pStyle w:val="aff4"/>
        <w:numPr>
          <w:ilvl w:val="3"/>
          <w:numId w:val="1"/>
        </w:numPr>
        <w:spacing w:before="156" w:after="156"/>
        <w:rPr>
          <w:rFonts w:ascii="Times New Roman"/>
        </w:rPr>
      </w:pPr>
      <w:bookmarkStart w:id="92" w:name="_Toc180252820"/>
      <w:bookmarkStart w:id="93" w:name="_Toc10401"/>
      <w:r>
        <w:rPr>
          <w:rFonts w:ascii="Times New Roman" w:hint="eastAsia"/>
        </w:rPr>
        <w:t>碰撞试验</w:t>
      </w:r>
      <w:bookmarkEnd w:id="92"/>
      <w:bookmarkEnd w:id="93"/>
    </w:p>
    <w:p w:rsidR="00B53BB1" w:rsidRDefault="00000000">
      <w:pPr>
        <w:pStyle w:val="aff6"/>
        <w:ind w:firstLine="420"/>
      </w:pPr>
      <w:r>
        <w:rPr>
          <w:rFonts w:ascii="Times New Roman" w:hint="eastAsia"/>
        </w:rPr>
        <w:lastRenderedPageBreak/>
        <w:t>发生器在运输包装状态下</w:t>
      </w:r>
      <w:r>
        <w:rPr>
          <w:rFonts w:hint="eastAsia"/>
        </w:rPr>
        <w:t>碰撞试验后</w:t>
      </w:r>
      <w:r>
        <w:rPr>
          <w:rFonts w:ascii="Times New Roman" w:hint="eastAsia"/>
        </w:rPr>
        <w:t>包装箱不应有较大的变形松脱、涂覆层剥落等机械损伤。</w:t>
      </w:r>
    </w:p>
    <w:p w:rsidR="00B53BB1" w:rsidRDefault="00000000">
      <w:pPr>
        <w:pStyle w:val="aff5"/>
        <w:numPr>
          <w:ilvl w:val="1"/>
          <w:numId w:val="1"/>
        </w:numPr>
        <w:spacing w:before="312" w:after="312"/>
        <w:ind w:left="0"/>
      </w:pPr>
      <w:bookmarkStart w:id="94" w:name="_Toc180252821"/>
      <w:r>
        <w:rPr>
          <w:rFonts w:hint="eastAsia"/>
        </w:rPr>
        <w:t>试验方法</w:t>
      </w:r>
      <w:bookmarkEnd w:id="94"/>
    </w:p>
    <w:p w:rsidR="00B53BB1" w:rsidRDefault="00000000">
      <w:pPr>
        <w:pStyle w:val="aff4"/>
        <w:numPr>
          <w:ilvl w:val="2"/>
          <w:numId w:val="1"/>
        </w:numPr>
        <w:spacing w:before="156" w:after="156"/>
      </w:pPr>
      <w:bookmarkStart w:id="95" w:name="_Toc180252822"/>
      <w:r>
        <w:rPr>
          <w:rFonts w:hint="eastAsia"/>
        </w:rPr>
        <w:t>试验条件</w:t>
      </w:r>
      <w:bookmarkEnd w:id="95"/>
    </w:p>
    <w:p w:rsidR="00B53BB1" w:rsidRDefault="00000000">
      <w:pPr>
        <w:pStyle w:val="aff4"/>
        <w:numPr>
          <w:ilvl w:val="3"/>
          <w:numId w:val="1"/>
        </w:numPr>
        <w:spacing w:before="156" w:after="156"/>
      </w:pPr>
      <w:bookmarkStart w:id="96" w:name="_Toc32319"/>
      <w:bookmarkStart w:id="97" w:name="_Toc5962"/>
      <w:bookmarkStart w:id="98" w:name="_Toc3579"/>
      <w:bookmarkStart w:id="99" w:name="_Toc180252823"/>
      <w:bookmarkStart w:id="100" w:name="_Toc32230"/>
      <w:bookmarkStart w:id="101" w:name="_Toc6754"/>
      <w:r>
        <w:rPr>
          <w:rFonts w:hint="eastAsia"/>
        </w:rPr>
        <w:t>试验环境</w:t>
      </w:r>
      <w:bookmarkEnd w:id="96"/>
      <w:bookmarkEnd w:id="97"/>
      <w:bookmarkEnd w:id="98"/>
      <w:bookmarkEnd w:id="99"/>
      <w:bookmarkEnd w:id="100"/>
      <w:bookmarkEnd w:id="101"/>
    </w:p>
    <w:p w:rsidR="00B53BB1" w:rsidRDefault="00000000">
      <w:pPr>
        <w:pStyle w:val="aff6"/>
        <w:ind w:firstLine="420"/>
        <w:rPr>
          <w:rFonts w:hAnsi="宋体" w:cs="宋体" w:hint="eastAsia"/>
        </w:rPr>
      </w:pPr>
      <w:bookmarkStart w:id="102" w:name="_Toc24906"/>
      <w:bookmarkStart w:id="103" w:name="_Toc11832"/>
      <w:bookmarkStart w:id="104" w:name="_Toc2405"/>
      <w:bookmarkStart w:id="105" w:name="_Toc13465"/>
      <w:r>
        <w:rPr>
          <w:rFonts w:hAnsi="宋体" w:cs="宋体" w:hint="eastAsia"/>
        </w:rPr>
        <w:t>试验条件应符合</w:t>
      </w:r>
      <w:r>
        <w:rPr>
          <w:rFonts w:hAnsi="宋体" w:cs="宋体" w:hint="eastAsia"/>
          <w:color w:val="212121"/>
        </w:rPr>
        <w:t>6.1规定。</w:t>
      </w:r>
    </w:p>
    <w:p w:rsidR="00B53BB1" w:rsidRDefault="00000000">
      <w:pPr>
        <w:pStyle w:val="aff4"/>
        <w:numPr>
          <w:ilvl w:val="3"/>
          <w:numId w:val="1"/>
        </w:numPr>
        <w:spacing w:before="156" w:after="156"/>
      </w:pPr>
      <w:bookmarkStart w:id="106" w:name="_Toc3115"/>
      <w:bookmarkStart w:id="107" w:name="_Toc180252824"/>
      <w:bookmarkStart w:id="108" w:name="_Toc9116"/>
      <w:bookmarkStart w:id="109" w:name="_Toc23202"/>
      <w:bookmarkStart w:id="110" w:name="_Toc1105"/>
      <w:bookmarkEnd w:id="102"/>
      <w:bookmarkEnd w:id="103"/>
      <w:bookmarkEnd w:id="104"/>
      <w:bookmarkEnd w:id="105"/>
      <w:r>
        <w:rPr>
          <w:rFonts w:hint="eastAsia"/>
        </w:rPr>
        <w:t>测试设备和试剂</w:t>
      </w:r>
      <w:bookmarkEnd w:id="106"/>
      <w:bookmarkEnd w:id="107"/>
    </w:p>
    <w:p w:rsidR="00B53BB1" w:rsidRDefault="00000000">
      <w:pPr>
        <w:pStyle w:val="aff6"/>
        <w:ind w:firstLine="420"/>
        <w:rPr>
          <w:rFonts w:hAnsi="宋体" w:cs="宋体" w:hint="eastAsia"/>
        </w:rPr>
      </w:pPr>
      <w:r>
        <w:rPr>
          <w:rFonts w:hAnsi="宋体" w:cs="宋体" w:hint="eastAsia"/>
        </w:rPr>
        <w:t xml:space="preserve">除非另有规定，本文件中所用试剂均为分析纯及以上，所有溶液均用一级水制备，一级水按 GB/T 6682—2008中 4.1 规定方法制备。试验所用试剂和仪器如下： </w:t>
      </w:r>
    </w:p>
    <w:p w:rsidR="00B53BB1" w:rsidRDefault="00000000">
      <w:pPr>
        <w:pStyle w:val="aff6"/>
        <w:numPr>
          <w:ilvl w:val="0"/>
          <w:numId w:val="9"/>
        </w:numPr>
        <w:ind w:leftChars="200" w:left="862" w:firstLineChars="0" w:hanging="442"/>
        <w:rPr>
          <w:rFonts w:hAnsi="宋体" w:cs="宋体" w:hint="eastAsia"/>
        </w:rPr>
      </w:pPr>
      <w:r>
        <w:rPr>
          <w:rFonts w:hAnsi="宋体" w:cs="宋体" w:hint="eastAsia"/>
        </w:rPr>
        <w:t xml:space="preserve">氯化钠（NaCl），NaCl溶液应现配现用（参见附录A）； </w:t>
      </w:r>
    </w:p>
    <w:p w:rsidR="00B53BB1" w:rsidRDefault="00000000">
      <w:pPr>
        <w:pStyle w:val="aff6"/>
        <w:numPr>
          <w:ilvl w:val="0"/>
          <w:numId w:val="9"/>
        </w:numPr>
        <w:ind w:leftChars="200" w:left="862" w:firstLineChars="0" w:hanging="442"/>
        <w:rPr>
          <w:rFonts w:hAnsi="宋体" w:cs="宋体" w:hint="eastAsia"/>
        </w:rPr>
      </w:pPr>
      <w:r>
        <w:rPr>
          <w:rFonts w:hAnsi="宋体" w:cs="宋体" w:hint="eastAsia"/>
        </w:rPr>
        <w:t xml:space="preserve">万分之一天平； </w:t>
      </w:r>
    </w:p>
    <w:p w:rsidR="00B53BB1" w:rsidRDefault="00000000">
      <w:pPr>
        <w:pStyle w:val="aff6"/>
        <w:numPr>
          <w:ilvl w:val="0"/>
          <w:numId w:val="9"/>
        </w:numPr>
        <w:ind w:leftChars="200" w:left="862" w:firstLineChars="0" w:hanging="442"/>
        <w:rPr>
          <w:rFonts w:hAnsi="宋体" w:cs="宋体" w:hint="eastAsia"/>
        </w:rPr>
      </w:pPr>
      <w:r>
        <w:rPr>
          <w:rFonts w:hAnsi="宋体" w:cs="宋体" w:hint="eastAsia"/>
        </w:rPr>
        <w:t xml:space="preserve">容量瓶：A级； </w:t>
      </w:r>
    </w:p>
    <w:p w:rsidR="00B53BB1" w:rsidRDefault="00000000">
      <w:pPr>
        <w:pStyle w:val="aff6"/>
        <w:numPr>
          <w:ilvl w:val="0"/>
          <w:numId w:val="9"/>
        </w:numPr>
        <w:ind w:leftChars="200" w:left="862" w:firstLineChars="0" w:hanging="442"/>
        <w:rPr>
          <w:rFonts w:hAnsi="宋体" w:cs="宋体" w:hint="eastAsia"/>
        </w:rPr>
      </w:pPr>
      <w:r>
        <w:rPr>
          <w:rFonts w:hAnsi="宋体" w:cs="宋体" w:hint="eastAsia"/>
        </w:rPr>
        <w:t>移液器；</w:t>
      </w:r>
    </w:p>
    <w:p w:rsidR="00B53BB1" w:rsidRDefault="00000000">
      <w:pPr>
        <w:pStyle w:val="aff6"/>
        <w:numPr>
          <w:ilvl w:val="0"/>
          <w:numId w:val="9"/>
        </w:numPr>
        <w:ind w:leftChars="200" w:left="862" w:firstLineChars="0" w:hanging="442"/>
        <w:rPr>
          <w:rFonts w:hAnsi="宋体" w:cs="宋体" w:hint="eastAsia"/>
        </w:rPr>
      </w:pPr>
      <w:r>
        <w:rPr>
          <w:rFonts w:hAnsi="宋体" w:cs="宋体" w:hint="eastAsia"/>
        </w:rPr>
        <w:t>滤膜（0.2 µm）：过滤效率＞99.9%；</w:t>
      </w:r>
    </w:p>
    <w:p w:rsidR="00B53BB1" w:rsidRDefault="00000000">
      <w:pPr>
        <w:pStyle w:val="aff6"/>
        <w:numPr>
          <w:ilvl w:val="0"/>
          <w:numId w:val="9"/>
        </w:numPr>
        <w:ind w:leftChars="200" w:left="862" w:firstLineChars="0" w:hanging="442"/>
        <w:rPr>
          <w:rFonts w:hAnsi="宋体" w:cs="宋体" w:hint="eastAsia"/>
        </w:rPr>
      </w:pPr>
      <w:r>
        <w:rPr>
          <w:rFonts w:hAnsi="宋体" w:cs="宋体" w:hint="eastAsia"/>
        </w:rPr>
        <w:t>凝结核粒子计数器（condensation particle counters；CPC）：计数效率≥98.5%，高流量（1.5±0.1） L/min，低流量（0.3±0.1） L/min；</w:t>
      </w:r>
    </w:p>
    <w:p w:rsidR="00B53BB1" w:rsidRDefault="00000000">
      <w:pPr>
        <w:pStyle w:val="aff6"/>
        <w:numPr>
          <w:ilvl w:val="0"/>
          <w:numId w:val="9"/>
        </w:numPr>
        <w:ind w:leftChars="200" w:left="862" w:firstLineChars="0" w:hanging="442"/>
        <w:rPr>
          <w:rFonts w:hAnsi="宋体" w:cs="宋体" w:hint="eastAsia"/>
        </w:rPr>
      </w:pPr>
      <w:r>
        <w:rPr>
          <w:rFonts w:hAnsi="宋体" w:cs="宋体" w:hint="eastAsia"/>
        </w:rPr>
        <w:t>被动补气适配器（passive air adaptor；PAA）：材质为内壁光滑的不锈钢，过滤效率＞99%；</w:t>
      </w:r>
    </w:p>
    <w:p w:rsidR="00B53BB1" w:rsidRDefault="00000000">
      <w:pPr>
        <w:pStyle w:val="aff6"/>
        <w:numPr>
          <w:ilvl w:val="0"/>
          <w:numId w:val="9"/>
        </w:numPr>
        <w:ind w:leftChars="200" w:left="862" w:firstLineChars="0" w:hanging="442"/>
        <w:rPr>
          <w:rFonts w:hAnsi="宋体" w:cs="宋体" w:hint="eastAsia"/>
        </w:rPr>
      </w:pPr>
      <w:r>
        <w:rPr>
          <w:rFonts w:hAnsi="宋体" w:cs="宋体" w:hint="eastAsia"/>
        </w:rPr>
        <w:t>气溶胶粒径谱仪（aerosol particle size spectrometer；APS）：示值误差≤2.2%。</w:t>
      </w:r>
    </w:p>
    <w:p w:rsidR="00B53BB1" w:rsidRDefault="00000000">
      <w:pPr>
        <w:pStyle w:val="aff4"/>
        <w:numPr>
          <w:ilvl w:val="2"/>
          <w:numId w:val="1"/>
        </w:numPr>
        <w:spacing w:before="156" w:after="156"/>
      </w:pPr>
      <w:bookmarkStart w:id="111" w:name="_Toc180252825"/>
      <w:bookmarkEnd w:id="108"/>
      <w:bookmarkEnd w:id="109"/>
      <w:bookmarkEnd w:id="110"/>
      <w:r>
        <w:rPr>
          <w:rFonts w:hint="eastAsia"/>
        </w:rPr>
        <w:t>试验方法</w:t>
      </w:r>
      <w:bookmarkEnd w:id="111"/>
    </w:p>
    <w:p w:rsidR="00B53BB1" w:rsidRDefault="00000000">
      <w:pPr>
        <w:pStyle w:val="aff4"/>
        <w:numPr>
          <w:ilvl w:val="3"/>
          <w:numId w:val="1"/>
        </w:numPr>
        <w:spacing w:before="156" w:after="156"/>
      </w:pPr>
      <w:bookmarkStart w:id="112" w:name="_Toc166084688"/>
      <w:bookmarkStart w:id="113" w:name="_Toc179963355"/>
      <w:bookmarkStart w:id="114" w:name="_Toc1765"/>
      <w:bookmarkStart w:id="115" w:name="_Toc180252826"/>
      <w:r>
        <w:rPr>
          <w:rFonts w:hint="eastAsia"/>
        </w:rPr>
        <w:t>外观检查</w:t>
      </w:r>
      <w:bookmarkEnd w:id="112"/>
      <w:bookmarkEnd w:id="113"/>
      <w:bookmarkEnd w:id="114"/>
      <w:bookmarkEnd w:id="115"/>
    </w:p>
    <w:p w:rsidR="00B53BB1" w:rsidRDefault="00000000">
      <w:pPr>
        <w:pStyle w:val="aff6"/>
        <w:ind w:firstLine="420"/>
        <w:rPr>
          <w:rFonts w:hAnsi="宋体" w:cs="宋体" w:hint="eastAsia"/>
        </w:rPr>
      </w:pPr>
      <w:r>
        <w:rPr>
          <w:rFonts w:hAnsi="宋体" w:cs="宋体" w:hint="eastAsia"/>
        </w:rPr>
        <w:t>目视或手感检查发生器的外观，应符合6.3的要求。</w:t>
      </w:r>
    </w:p>
    <w:p w:rsidR="00B53BB1" w:rsidRDefault="00000000">
      <w:pPr>
        <w:pStyle w:val="aff4"/>
        <w:numPr>
          <w:ilvl w:val="3"/>
          <w:numId w:val="1"/>
        </w:numPr>
        <w:spacing w:before="156" w:after="156"/>
      </w:pPr>
      <w:bookmarkStart w:id="116" w:name="_Toc179963359"/>
      <w:bookmarkStart w:id="117" w:name="_Toc180252827"/>
      <w:bookmarkStart w:id="118" w:name="_Toc14728"/>
      <w:r>
        <w:rPr>
          <w:rFonts w:hint="eastAsia"/>
        </w:rPr>
        <w:t>气路气密性</w:t>
      </w:r>
      <w:bookmarkEnd w:id="116"/>
      <w:bookmarkEnd w:id="117"/>
      <w:bookmarkEnd w:id="118"/>
    </w:p>
    <w:p w:rsidR="00B53BB1" w:rsidRDefault="00000000">
      <w:pPr>
        <w:pStyle w:val="aff6"/>
        <w:ind w:firstLine="420"/>
        <w:rPr>
          <w:rFonts w:hAnsi="宋体" w:cs="宋体" w:hint="eastAsia"/>
        </w:rPr>
      </w:pPr>
      <w:r>
        <w:rPr>
          <w:rFonts w:hAnsi="宋体" w:cs="宋体" w:hint="eastAsia"/>
        </w:rPr>
        <w:t>封闭发生器各气路端口，将压力计装接于发生器的排气口，施加压力，使压差为3000 Pa±100 Pa，封闭压力进气口，0.5min后观察。结果符合6.3.2的要求。</w:t>
      </w:r>
      <w:bookmarkStart w:id="119" w:name="_Toc16425"/>
      <w:bookmarkStart w:id="120" w:name="_Toc166084691"/>
      <w:bookmarkStart w:id="121" w:name="_Toc179963360"/>
      <w:bookmarkStart w:id="122" w:name="_Toc180252828"/>
    </w:p>
    <w:p w:rsidR="00B53BB1" w:rsidRDefault="00000000">
      <w:pPr>
        <w:pStyle w:val="aff4"/>
        <w:numPr>
          <w:ilvl w:val="3"/>
          <w:numId w:val="1"/>
        </w:numPr>
        <w:spacing w:before="156" w:after="156"/>
      </w:pPr>
      <w:r>
        <w:rPr>
          <w:rFonts w:hint="eastAsia"/>
        </w:rPr>
        <w:t>粒径准确性</w:t>
      </w:r>
      <w:bookmarkEnd w:id="119"/>
      <w:bookmarkEnd w:id="120"/>
      <w:bookmarkEnd w:id="121"/>
      <w:bookmarkEnd w:id="122"/>
    </w:p>
    <w:p w:rsidR="00B53BB1" w:rsidRDefault="00000000">
      <w:pPr>
        <w:pStyle w:val="aff6"/>
        <w:ind w:firstLine="420"/>
        <w:rPr>
          <w:rFonts w:hAnsi="宋体" w:cs="宋体" w:hint="eastAsia"/>
        </w:rPr>
      </w:pPr>
      <w:r>
        <w:rPr>
          <w:rFonts w:hAnsi="宋体" w:cs="宋体" w:hint="eastAsia"/>
        </w:rPr>
        <w:t>选用孔径为40 μm的喷头，并将APS连接到发生器的出口处，对发生器的发生粒径值进行测量，记录峰值粒径。根据公式（1）计算粒径准确性（0.065 g/L NaCl溶液的理论值为2 µm），要求测试3～5次，取其平均值。</w:t>
      </w:r>
    </w:p>
    <w:p w:rsidR="00B53BB1" w:rsidRDefault="00000000">
      <w:pPr>
        <w:pStyle w:val="aff6"/>
        <w:ind w:firstLine="420"/>
        <w:jc w:val="center"/>
        <w:rPr>
          <w:rFonts w:hAnsi="宋体" w:hint="eastAsia"/>
        </w:rPr>
      </w:pPr>
      <w:r>
        <w:rPr>
          <w:rFonts w:hAnsi="宋体" w:hint="eastAsia"/>
        </w:rPr>
        <w:t xml:space="preserve">                             </w:t>
      </w:r>
      <m:oMath>
        <m:r>
          <w:rPr>
            <w:rFonts w:ascii="Cambria Math" w:hAnsi="Cambria Math"/>
          </w:rPr>
          <m:t>∆d=</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v</m:t>
                </m:r>
              </m:sub>
            </m:sSub>
          </m:num>
          <m:den>
            <m:sSub>
              <m:sSubPr>
                <m:ctrlPr>
                  <w:rPr>
                    <w:rFonts w:ascii="Cambria Math" w:hAnsi="Cambria Math"/>
                    <w:i/>
                  </w:rPr>
                </m:ctrlPr>
              </m:sSubPr>
              <m:e>
                <m:r>
                  <w:rPr>
                    <w:rFonts w:ascii="Cambria Math" w:hAnsi="Cambria Math"/>
                  </w:rPr>
                  <m:t>D</m:t>
                </m:r>
              </m:e>
              <m:sub>
                <m:r>
                  <w:rPr>
                    <w:rFonts w:ascii="Cambria Math" w:hAnsi="Cambria Math"/>
                  </w:rPr>
                  <m:t>v</m:t>
                </m:r>
              </m:sub>
            </m:sSub>
          </m:den>
        </m:f>
        <m:r>
          <w:rPr>
            <w:rFonts w:ascii="Cambria Math" w:hAnsi="Cambria Math"/>
          </w:rPr>
          <m:t>×100%</m:t>
        </m:r>
      </m:oMath>
      <w:bookmarkStart w:id="123" w:name="_Hlk179811707"/>
      <w:r>
        <w:rPr>
          <w:rFonts w:hAnsi="宋体"/>
        </w:rPr>
        <w:t>……………………………………………</w:t>
      </w:r>
      <w:r>
        <w:rPr>
          <w:rFonts w:hAnsi="宋体" w:hint="eastAsia"/>
        </w:rPr>
        <w:t>（1）</w:t>
      </w:r>
      <w:bookmarkEnd w:id="123"/>
    </w:p>
    <w:p w:rsidR="00B53BB1" w:rsidRDefault="00000000">
      <w:pPr>
        <w:widowControl/>
        <w:ind w:firstLineChars="200" w:firstLine="420"/>
        <w:jc w:val="left"/>
        <w:rPr>
          <w:rFonts w:ascii="宋体" w:eastAsia="宋体" w:hAnsi="宋体" w:cs="宋体" w:hint="eastAsia"/>
        </w:rPr>
      </w:pPr>
      <w:r>
        <w:rPr>
          <w:rFonts w:ascii="宋体" w:eastAsia="宋体" w:hAnsi="宋体" w:cs="宋体" w:hint="eastAsia"/>
        </w:rPr>
        <w:t>式中：</w:t>
      </w:r>
    </w:p>
    <w:p w:rsidR="00B53BB1" w:rsidRDefault="00000000">
      <w:pPr>
        <w:pStyle w:val="aff6"/>
        <w:ind w:firstLine="420"/>
        <w:rPr>
          <w:rFonts w:hAnsi="宋体" w:cs="宋体" w:hint="eastAsia"/>
        </w:rPr>
      </w:pPr>
      <m:oMath>
        <m:sSub>
          <m:sSubPr>
            <m:ctrlPr>
              <w:rPr>
                <w:rFonts w:ascii="Cambria Math" w:hAnsi="Cambria Math" w:cs="宋体" w:hint="eastAsia"/>
              </w:rPr>
            </m:ctrlPr>
          </m:sSubPr>
          <m:e>
            <m:r>
              <w:rPr>
                <w:rFonts w:ascii="Cambria Math" w:hAnsi="Cambria Math" w:cs="宋体" w:hint="eastAsia"/>
              </w:rPr>
              <m:t>D</m:t>
            </m:r>
          </m:e>
          <m:sub>
            <m:r>
              <w:rPr>
                <w:rFonts w:ascii="Cambria Math" w:hAnsi="Cambria Math" w:cs="宋体" w:hint="eastAsia"/>
              </w:rPr>
              <m:t>t</m:t>
            </m:r>
          </m:sub>
        </m:sSub>
      </m:oMath>
      <w:r>
        <w:rPr>
          <w:rFonts w:hAnsi="宋体" w:cs="宋体" w:hint="eastAsia"/>
        </w:rPr>
        <w:t>——APS的峰值粒径测量值，单位为µm；</w:t>
      </w:r>
    </w:p>
    <w:p w:rsidR="00B53BB1" w:rsidRDefault="00000000">
      <w:pPr>
        <w:pStyle w:val="aff6"/>
        <w:ind w:firstLine="420"/>
        <w:rPr>
          <w:rFonts w:hAnsi="宋体" w:cs="宋体" w:hint="eastAsia"/>
        </w:rPr>
      </w:pPr>
      <m:oMath>
        <m:sSub>
          <m:sSubPr>
            <m:ctrlPr>
              <w:rPr>
                <w:rFonts w:ascii="Cambria Math" w:hAnsi="Cambria Math" w:cs="宋体" w:hint="eastAsia"/>
                <w:i/>
              </w:rPr>
            </m:ctrlPr>
          </m:sSubPr>
          <m:e>
            <m:r>
              <w:rPr>
                <w:rFonts w:ascii="Cambria Math" w:hAnsi="Cambria Math" w:cs="宋体" w:hint="eastAsia"/>
              </w:rPr>
              <m:t>D</m:t>
            </m:r>
          </m:e>
          <m:sub>
            <m:r>
              <w:rPr>
                <w:rFonts w:ascii="Cambria Math" w:hAnsi="Cambria Math" w:cs="宋体" w:hint="eastAsia"/>
              </w:rPr>
              <m:t>v</m:t>
            </m:r>
          </m:sub>
        </m:sSub>
      </m:oMath>
      <w:r>
        <w:rPr>
          <w:rFonts w:hAnsi="宋体" w:cs="宋体" w:hint="eastAsia"/>
        </w:rPr>
        <w:t>——发生器的理论粒径值，单位为µm。</w:t>
      </w:r>
    </w:p>
    <w:p w:rsidR="00B53BB1" w:rsidRDefault="00000000">
      <w:pPr>
        <w:pStyle w:val="aff4"/>
        <w:numPr>
          <w:ilvl w:val="3"/>
          <w:numId w:val="1"/>
        </w:numPr>
        <w:spacing w:before="156" w:after="156"/>
      </w:pPr>
      <w:bookmarkStart w:id="124" w:name="_Toc166084692"/>
      <w:bookmarkStart w:id="125" w:name="_Toc180252829"/>
      <w:bookmarkStart w:id="126" w:name="_Toc179963361"/>
      <w:bookmarkStart w:id="127" w:name="_Toc22873"/>
      <w:r>
        <w:rPr>
          <w:rFonts w:hint="eastAsia"/>
        </w:rPr>
        <w:t>数量浓度准确性</w:t>
      </w:r>
      <w:bookmarkEnd w:id="124"/>
      <w:bookmarkEnd w:id="125"/>
      <w:bookmarkEnd w:id="126"/>
      <w:bookmarkEnd w:id="127"/>
    </w:p>
    <w:p w:rsidR="00B53BB1" w:rsidRDefault="00000000">
      <w:pPr>
        <w:pStyle w:val="aff6"/>
        <w:ind w:firstLine="420"/>
        <w:rPr>
          <w:rFonts w:hAnsi="宋体" w:cs="宋体" w:hint="eastAsia"/>
        </w:rPr>
      </w:pPr>
      <w:r>
        <w:rPr>
          <w:rFonts w:hAnsi="宋体" w:cs="宋体" w:hint="eastAsia"/>
        </w:rPr>
        <w:lastRenderedPageBreak/>
        <w:t>将CPC连接到发生器的出口处，作为检测设备对发生器的出口浓度进行测量，记录CPC的颗粒数量浓度值。发生器的发生频率分别设定为100 Hz、200 Hz、300 Hz、400 Hz、500 Hz，上述频率的理论颗粒数量浓度见表2。</w:t>
      </w:r>
    </w:p>
    <w:p w:rsidR="00B53BB1" w:rsidRDefault="00000000">
      <w:pPr>
        <w:pStyle w:val="afff1"/>
        <w:adjustRightInd w:val="0"/>
        <w:snapToGrid w:val="0"/>
        <w:spacing w:before="156" w:after="156"/>
        <w:rPr>
          <w:rFonts w:hAnsi="黑体" w:hint="eastAsia"/>
          <w:lang w:val="zh-CN"/>
        </w:rPr>
      </w:pPr>
      <w:r>
        <w:rPr>
          <w:rFonts w:hAnsi="黑体" w:hint="eastAsia"/>
          <w:lang w:val="zh-CN"/>
        </w:rPr>
        <w:t xml:space="preserve">表2 </w:t>
      </w:r>
      <w:r>
        <w:rPr>
          <w:rFonts w:hAnsi="黑体" w:hint="eastAsia"/>
        </w:rPr>
        <w:t xml:space="preserve"> </w:t>
      </w:r>
      <w:r>
        <w:rPr>
          <w:rFonts w:hAnsi="黑体" w:hint="eastAsia"/>
          <w:lang w:val="zh-CN"/>
        </w:rPr>
        <w:t>理论数量浓度</w:t>
      </w:r>
    </w:p>
    <w:tbl>
      <w:tblPr>
        <w:tblStyle w:val="af4"/>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35"/>
        <w:gridCol w:w="4135"/>
      </w:tblGrid>
      <w:tr w:rsidR="00B53BB1">
        <w:trPr>
          <w:trHeight w:val="342"/>
          <w:jc w:val="center"/>
        </w:trPr>
        <w:tc>
          <w:tcPr>
            <w:tcW w:w="4135" w:type="dxa"/>
            <w:vAlign w:val="center"/>
          </w:tcPr>
          <w:p w:rsidR="00B53BB1" w:rsidRDefault="00000000">
            <w:pPr>
              <w:pStyle w:val="aff6"/>
              <w:ind w:firstLineChars="0" w:firstLine="0"/>
              <w:jc w:val="center"/>
              <w:rPr>
                <w:rFonts w:ascii="Times New Roman" w:hAnsi="Calibri"/>
                <w:sz w:val="18"/>
                <w:szCs w:val="18"/>
              </w:rPr>
            </w:pPr>
            <w:bookmarkStart w:id="128" w:name="_Hlk179809454"/>
            <w:r>
              <w:rPr>
                <w:rFonts w:ascii="Times New Roman" w:hAnsi="Calibri"/>
                <w:sz w:val="18"/>
                <w:szCs w:val="18"/>
              </w:rPr>
              <w:t>频率（</w:t>
            </w:r>
            <w:r>
              <w:rPr>
                <w:rFonts w:ascii="Times New Roman" w:hAnsi="Calibri"/>
                <w:sz w:val="18"/>
                <w:szCs w:val="18"/>
              </w:rPr>
              <w:t>Hz</w:t>
            </w:r>
            <w:r>
              <w:rPr>
                <w:rFonts w:ascii="Times New Roman" w:hAnsi="Calibri"/>
                <w:sz w:val="18"/>
                <w:szCs w:val="18"/>
              </w:rPr>
              <w:t>）</w:t>
            </w:r>
          </w:p>
        </w:tc>
        <w:tc>
          <w:tcPr>
            <w:tcW w:w="4135" w:type="dxa"/>
          </w:tcPr>
          <w:p w:rsidR="00B53BB1" w:rsidRDefault="00000000">
            <w:pPr>
              <w:pStyle w:val="aff6"/>
              <w:ind w:firstLineChars="0" w:firstLine="0"/>
              <w:jc w:val="center"/>
              <w:rPr>
                <w:rFonts w:ascii="Times New Roman" w:hAnsi="Calibri"/>
                <w:sz w:val="18"/>
                <w:szCs w:val="18"/>
              </w:rPr>
            </w:pPr>
            <w:r>
              <w:rPr>
                <w:rFonts w:ascii="Times New Roman" w:hAnsi="Calibri" w:hint="eastAsia"/>
                <w:sz w:val="18"/>
                <w:szCs w:val="18"/>
              </w:rPr>
              <w:t>理论</w:t>
            </w:r>
            <w:r>
              <w:rPr>
                <w:rFonts w:ascii="Times New Roman" w:hAnsi="Calibri"/>
                <w:sz w:val="18"/>
                <w:szCs w:val="18"/>
              </w:rPr>
              <w:t>数量浓度（个</w:t>
            </w:r>
            <w:r>
              <w:rPr>
                <w:rFonts w:ascii="Times New Roman" w:hAnsi="Calibri"/>
                <w:sz w:val="18"/>
                <w:szCs w:val="18"/>
              </w:rPr>
              <w:t>/cm</w:t>
            </w:r>
            <w:r>
              <w:rPr>
                <w:rFonts w:ascii="Times New Roman" w:hAnsi="Calibri"/>
                <w:sz w:val="18"/>
                <w:szCs w:val="18"/>
                <w:vertAlign w:val="superscript"/>
              </w:rPr>
              <w:t>3</w:t>
            </w:r>
            <w:r>
              <w:rPr>
                <w:rFonts w:ascii="Times New Roman" w:hAnsi="Calibri"/>
                <w:sz w:val="18"/>
                <w:szCs w:val="18"/>
              </w:rPr>
              <w:t>）</w:t>
            </w:r>
          </w:p>
        </w:tc>
      </w:tr>
      <w:tr w:rsidR="00B53BB1">
        <w:trPr>
          <w:trHeight w:val="342"/>
          <w:jc w:val="center"/>
        </w:trPr>
        <w:tc>
          <w:tcPr>
            <w:tcW w:w="4135" w:type="dxa"/>
          </w:tcPr>
          <w:p w:rsidR="00B53BB1" w:rsidRDefault="00000000">
            <w:pPr>
              <w:pStyle w:val="aff6"/>
              <w:ind w:firstLineChars="0" w:firstLine="0"/>
              <w:jc w:val="center"/>
              <w:rPr>
                <w:rFonts w:ascii="Times New Roman" w:hAnsi="Calibri"/>
                <w:sz w:val="18"/>
                <w:szCs w:val="18"/>
              </w:rPr>
            </w:pPr>
            <w:r>
              <w:rPr>
                <w:rFonts w:ascii="Times New Roman" w:hAnsi="Calibri"/>
                <w:sz w:val="18"/>
                <w:szCs w:val="18"/>
              </w:rPr>
              <w:t>100</w:t>
            </w:r>
          </w:p>
        </w:tc>
        <w:tc>
          <w:tcPr>
            <w:tcW w:w="4135" w:type="dxa"/>
          </w:tcPr>
          <w:p w:rsidR="00B53BB1" w:rsidRDefault="00000000">
            <w:pPr>
              <w:pStyle w:val="aff6"/>
              <w:ind w:firstLineChars="0" w:firstLine="0"/>
              <w:jc w:val="center"/>
              <w:rPr>
                <w:rFonts w:ascii="Times New Roman" w:hAnsi="Calibri"/>
                <w:sz w:val="18"/>
                <w:szCs w:val="18"/>
              </w:rPr>
            </w:pPr>
            <w:r>
              <w:rPr>
                <w:rFonts w:ascii="Times New Roman" w:hAnsi="Calibri"/>
                <w:sz w:val="18"/>
                <w:szCs w:val="18"/>
              </w:rPr>
              <w:t>6</w:t>
            </w:r>
          </w:p>
        </w:tc>
      </w:tr>
      <w:tr w:rsidR="00B53BB1">
        <w:trPr>
          <w:trHeight w:val="342"/>
          <w:jc w:val="center"/>
        </w:trPr>
        <w:tc>
          <w:tcPr>
            <w:tcW w:w="4135" w:type="dxa"/>
          </w:tcPr>
          <w:p w:rsidR="00B53BB1" w:rsidRDefault="00000000">
            <w:pPr>
              <w:pStyle w:val="aff6"/>
              <w:ind w:firstLineChars="0" w:firstLine="0"/>
              <w:jc w:val="center"/>
              <w:rPr>
                <w:rFonts w:ascii="Times New Roman" w:hAnsi="Calibri"/>
                <w:sz w:val="18"/>
                <w:szCs w:val="18"/>
              </w:rPr>
            </w:pPr>
            <w:r>
              <w:rPr>
                <w:rFonts w:ascii="Times New Roman" w:hAnsi="Calibri"/>
                <w:sz w:val="18"/>
                <w:szCs w:val="18"/>
              </w:rPr>
              <w:t>200</w:t>
            </w:r>
          </w:p>
        </w:tc>
        <w:tc>
          <w:tcPr>
            <w:tcW w:w="4135" w:type="dxa"/>
          </w:tcPr>
          <w:p w:rsidR="00B53BB1" w:rsidRDefault="00000000">
            <w:pPr>
              <w:pStyle w:val="aff6"/>
              <w:ind w:firstLineChars="0" w:firstLine="0"/>
              <w:jc w:val="center"/>
              <w:rPr>
                <w:rFonts w:ascii="Times New Roman" w:hAnsi="Calibri"/>
                <w:sz w:val="18"/>
                <w:szCs w:val="18"/>
              </w:rPr>
            </w:pPr>
            <w:r>
              <w:rPr>
                <w:rFonts w:ascii="Times New Roman" w:hAnsi="Calibri"/>
                <w:sz w:val="18"/>
                <w:szCs w:val="18"/>
              </w:rPr>
              <w:t>12</w:t>
            </w:r>
          </w:p>
        </w:tc>
      </w:tr>
      <w:tr w:rsidR="00B53BB1">
        <w:trPr>
          <w:trHeight w:val="342"/>
          <w:jc w:val="center"/>
        </w:trPr>
        <w:tc>
          <w:tcPr>
            <w:tcW w:w="4135" w:type="dxa"/>
          </w:tcPr>
          <w:p w:rsidR="00B53BB1" w:rsidRDefault="00000000">
            <w:pPr>
              <w:pStyle w:val="aff6"/>
              <w:ind w:firstLineChars="0" w:firstLine="0"/>
              <w:jc w:val="center"/>
              <w:rPr>
                <w:rFonts w:ascii="Times New Roman" w:hAnsi="Calibri"/>
                <w:sz w:val="18"/>
                <w:szCs w:val="18"/>
              </w:rPr>
            </w:pPr>
            <w:r>
              <w:rPr>
                <w:rFonts w:ascii="Times New Roman" w:hAnsi="Calibri"/>
                <w:sz w:val="18"/>
                <w:szCs w:val="18"/>
              </w:rPr>
              <w:t>300</w:t>
            </w:r>
          </w:p>
        </w:tc>
        <w:tc>
          <w:tcPr>
            <w:tcW w:w="4135" w:type="dxa"/>
          </w:tcPr>
          <w:p w:rsidR="00B53BB1" w:rsidRDefault="00000000">
            <w:pPr>
              <w:pStyle w:val="aff6"/>
              <w:ind w:firstLineChars="0" w:firstLine="0"/>
              <w:jc w:val="center"/>
              <w:rPr>
                <w:rFonts w:ascii="Times New Roman" w:hAnsi="Calibri"/>
                <w:sz w:val="18"/>
                <w:szCs w:val="18"/>
              </w:rPr>
            </w:pPr>
            <w:r>
              <w:rPr>
                <w:rFonts w:ascii="Times New Roman" w:hAnsi="Calibri"/>
                <w:sz w:val="18"/>
                <w:szCs w:val="18"/>
              </w:rPr>
              <w:t>18</w:t>
            </w:r>
          </w:p>
        </w:tc>
      </w:tr>
      <w:tr w:rsidR="00B53BB1">
        <w:trPr>
          <w:trHeight w:val="342"/>
          <w:jc w:val="center"/>
        </w:trPr>
        <w:tc>
          <w:tcPr>
            <w:tcW w:w="4135" w:type="dxa"/>
          </w:tcPr>
          <w:p w:rsidR="00B53BB1" w:rsidRDefault="00000000">
            <w:pPr>
              <w:pStyle w:val="aff6"/>
              <w:ind w:firstLineChars="0" w:firstLine="0"/>
              <w:jc w:val="center"/>
              <w:rPr>
                <w:rFonts w:ascii="Times New Roman" w:hAnsi="Calibri"/>
                <w:sz w:val="18"/>
                <w:szCs w:val="18"/>
              </w:rPr>
            </w:pPr>
            <w:r>
              <w:rPr>
                <w:rFonts w:ascii="Times New Roman" w:hAnsi="Calibri"/>
                <w:sz w:val="18"/>
                <w:szCs w:val="18"/>
              </w:rPr>
              <w:t>400</w:t>
            </w:r>
          </w:p>
        </w:tc>
        <w:tc>
          <w:tcPr>
            <w:tcW w:w="4135" w:type="dxa"/>
          </w:tcPr>
          <w:p w:rsidR="00B53BB1" w:rsidRDefault="00000000">
            <w:pPr>
              <w:pStyle w:val="aff6"/>
              <w:ind w:firstLineChars="0" w:firstLine="0"/>
              <w:jc w:val="center"/>
              <w:rPr>
                <w:rFonts w:ascii="Times New Roman" w:hAnsi="Calibri"/>
                <w:sz w:val="18"/>
                <w:szCs w:val="18"/>
              </w:rPr>
            </w:pPr>
            <w:r>
              <w:rPr>
                <w:rFonts w:ascii="Times New Roman" w:hAnsi="Calibri"/>
                <w:sz w:val="18"/>
                <w:szCs w:val="18"/>
              </w:rPr>
              <w:t>24</w:t>
            </w:r>
          </w:p>
        </w:tc>
      </w:tr>
      <w:tr w:rsidR="00B53BB1">
        <w:trPr>
          <w:trHeight w:val="342"/>
          <w:jc w:val="center"/>
        </w:trPr>
        <w:tc>
          <w:tcPr>
            <w:tcW w:w="4135" w:type="dxa"/>
          </w:tcPr>
          <w:p w:rsidR="00B53BB1" w:rsidRDefault="00000000">
            <w:pPr>
              <w:pStyle w:val="aff6"/>
              <w:ind w:firstLineChars="0" w:firstLine="0"/>
              <w:jc w:val="center"/>
              <w:rPr>
                <w:rFonts w:ascii="Times New Roman" w:hAnsi="Calibri"/>
                <w:sz w:val="18"/>
                <w:szCs w:val="18"/>
              </w:rPr>
            </w:pPr>
            <w:r>
              <w:rPr>
                <w:rFonts w:ascii="Times New Roman" w:hAnsi="Calibri"/>
                <w:sz w:val="18"/>
                <w:szCs w:val="18"/>
              </w:rPr>
              <w:t>500</w:t>
            </w:r>
          </w:p>
        </w:tc>
        <w:tc>
          <w:tcPr>
            <w:tcW w:w="4135" w:type="dxa"/>
          </w:tcPr>
          <w:p w:rsidR="00B53BB1" w:rsidRDefault="00000000">
            <w:pPr>
              <w:pStyle w:val="aff6"/>
              <w:ind w:firstLineChars="0" w:firstLine="0"/>
              <w:jc w:val="center"/>
              <w:rPr>
                <w:rFonts w:ascii="Times New Roman" w:hAnsi="Calibri"/>
                <w:sz w:val="18"/>
                <w:szCs w:val="18"/>
              </w:rPr>
            </w:pPr>
            <w:r>
              <w:rPr>
                <w:rFonts w:ascii="Times New Roman" w:hAnsi="Calibri"/>
                <w:sz w:val="18"/>
                <w:szCs w:val="18"/>
              </w:rPr>
              <w:t>30</w:t>
            </w:r>
          </w:p>
        </w:tc>
      </w:tr>
    </w:tbl>
    <w:p w:rsidR="00B53BB1" w:rsidRDefault="00B53BB1">
      <w:pPr>
        <w:widowControl/>
        <w:tabs>
          <w:tab w:val="center" w:pos="4201"/>
          <w:tab w:val="right" w:leader="dot" w:pos="9298"/>
        </w:tabs>
        <w:autoSpaceDE w:val="0"/>
        <w:autoSpaceDN w:val="0"/>
        <w:ind w:firstLineChars="200" w:firstLine="420"/>
        <w:jc w:val="left"/>
        <w:rPr>
          <w:rFonts w:hAnsi="宋体" w:hint="eastAsia"/>
        </w:rPr>
      </w:pPr>
    </w:p>
    <w:p w:rsidR="00B53BB1" w:rsidRDefault="00000000">
      <w:pPr>
        <w:widowControl/>
        <w:tabs>
          <w:tab w:val="center" w:pos="4201"/>
          <w:tab w:val="right" w:leader="dot" w:pos="9298"/>
        </w:tabs>
        <w:autoSpaceDE w:val="0"/>
        <w:autoSpaceDN w:val="0"/>
        <w:ind w:firstLineChars="200" w:firstLine="420"/>
        <w:jc w:val="left"/>
        <w:rPr>
          <w:rFonts w:ascii="宋体" w:hAnsi="宋体" w:hint="eastAsia"/>
          <w:kern w:val="0"/>
          <w:szCs w:val="20"/>
        </w:rPr>
      </w:pPr>
      <w:r>
        <w:rPr>
          <w:rFonts w:hAnsi="宋体" w:hint="eastAsia"/>
        </w:rPr>
        <w:t>根据公式（</w:t>
      </w:r>
      <w:r>
        <w:rPr>
          <w:rFonts w:hAnsi="宋体" w:hint="eastAsia"/>
        </w:rPr>
        <w:t>2</w:t>
      </w:r>
      <w:r>
        <w:rPr>
          <w:rFonts w:hAnsi="宋体" w:hint="eastAsia"/>
        </w:rPr>
        <w:t>）计算各个频率下颗粒数量浓度准确性并取其平均值。</w:t>
      </w:r>
    </w:p>
    <w:p w:rsidR="00B53BB1" w:rsidRDefault="00000000">
      <w:pPr>
        <w:widowControl/>
        <w:tabs>
          <w:tab w:val="center" w:pos="4201"/>
          <w:tab w:val="right" w:leader="dot" w:pos="9298"/>
        </w:tabs>
        <w:autoSpaceDE w:val="0"/>
        <w:autoSpaceDN w:val="0"/>
        <w:spacing w:line="360" w:lineRule="auto"/>
        <w:ind w:firstLineChars="200" w:firstLine="420"/>
        <w:jc w:val="center"/>
      </w:pPr>
      <w:r>
        <w:rPr>
          <w:rFonts w:ascii="宋体" w:hAnsi="宋体" w:hint="eastAsia"/>
          <w:kern w:val="0"/>
          <w:szCs w:val="20"/>
        </w:rPr>
        <w:t xml:space="preserve">                           </w:t>
      </w:r>
      <m:oMath>
        <m:sSub>
          <m:sSubPr>
            <m:ctrlPr>
              <w:rPr>
                <w:rFonts w:ascii="Cambria Math" w:hAnsi="Cambria Math"/>
                <w:i/>
                <w:kern w:val="0"/>
                <w:szCs w:val="20"/>
              </w:rPr>
            </m:ctrlPr>
          </m:sSubPr>
          <m:e>
            <m:r>
              <w:rPr>
                <w:rFonts w:ascii="Cambria Math" w:hAnsi="Cambria Math"/>
                <w:kern w:val="0"/>
                <w:szCs w:val="20"/>
              </w:rPr>
              <m:t>Δ</m:t>
            </m:r>
          </m:e>
          <m:sub>
            <m:r>
              <w:rPr>
                <w:rFonts w:ascii="Cambria Math" w:hAnsi="Cambria Math"/>
                <w:kern w:val="0"/>
                <w:szCs w:val="20"/>
              </w:rPr>
              <m:t>C</m:t>
            </m:r>
          </m:sub>
        </m:sSub>
        <m:r>
          <m:rPr>
            <m:sty m:val="p"/>
          </m:rPr>
          <w:rPr>
            <w:rFonts w:ascii="Cambria Math" w:hAnsi="Cambria Math"/>
            <w:kern w:val="0"/>
            <w:szCs w:val="20"/>
          </w:rPr>
          <m:t>=</m:t>
        </m:r>
        <m:f>
          <m:fPr>
            <m:ctrlPr>
              <w:rPr>
                <w:rFonts w:ascii="Cambria Math" w:hAnsi="Cambria Math"/>
                <w:i/>
                <w:kern w:val="0"/>
                <w:szCs w:val="20"/>
              </w:rPr>
            </m:ctrlPr>
          </m:fPr>
          <m:num>
            <m:r>
              <w:rPr>
                <w:rFonts w:ascii="Cambria Math" w:hAnsi="Cambria Math"/>
                <w:kern w:val="0"/>
                <w:szCs w:val="20"/>
              </w:rPr>
              <m:t>1.523</m:t>
            </m:r>
            <m:sSub>
              <m:sSubPr>
                <m:ctrlPr>
                  <w:rPr>
                    <w:rFonts w:ascii="Cambria Math" w:hAnsi="Cambria Math"/>
                    <w:i/>
                    <w:iCs/>
                    <w:kern w:val="0"/>
                    <w:szCs w:val="20"/>
                  </w:rPr>
                </m:ctrlPr>
              </m:sSubPr>
              <m:e>
                <m:r>
                  <w:rPr>
                    <w:rFonts w:ascii="Cambria Math" w:hAnsi="Cambria Math"/>
                    <w:kern w:val="0"/>
                    <w:szCs w:val="20"/>
                  </w:rPr>
                  <m:t>C</m:t>
                </m:r>
              </m:e>
              <m:sub>
                <m:r>
                  <w:rPr>
                    <w:rFonts w:ascii="Cambria Math" w:hAnsi="Cambria Math" w:hint="eastAsia"/>
                    <w:kern w:val="0"/>
                    <w:szCs w:val="20"/>
                  </w:rPr>
                  <m:t>s</m:t>
                </m:r>
              </m:sub>
            </m:sSub>
            <m:r>
              <w:rPr>
                <w:rFonts w:ascii="Cambria Math" w:hAnsi="Cambria Math"/>
                <w:kern w:val="0"/>
                <w:szCs w:val="20"/>
              </w:rPr>
              <m:t>-</m:t>
            </m:r>
            <m:sSub>
              <m:sSubPr>
                <m:ctrlPr>
                  <w:rPr>
                    <w:rFonts w:ascii="Cambria Math" w:hAnsi="Cambria Math"/>
                    <w:i/>
                    <w:kern w:val="0"/>
                    <w:szCs w:val="20"/>
                  </w:rPr>
                </m:ctrlPr>
              </m:sSubPr>
              <m:e>
                <m:r>
                  <w:rPr>
                    <w:rFonts w:ascii="Cambria Math" w:hAnsi="Cambria Math"/>
                    <w:kern w:val="0"/>
                    <w:szCs w:val="20"/>
                  </w:rPr>
                  <m:t>C</m:t>
                </m:r>
              </m:e>
              <m:sub>
                <m:r>
                  <m:rPr>
                    <m:sty m:val="p"/>
                  </m:rPr>
                  <w:rPr>
                    <w:rFonts w:ascii="Cambria Math" w:hAnsi="Cambria Math"/>
                    <w:kern w:val="0"/>
                    <w:szCs w:val="20"/>
                  </w:rPr>
                  <m:t>g</m:t>
                </m:r>
              </m:sub>
            </m:sSub>
            <m:r>
              <w:rPr>
                <w:rFonts w:ascii="Cambria Math" w:hAnsi="Cambria Math"/>
                <w:kern w:val="0"/>
                <w:szCs w:val="20"/>
              </w:rPr>
              <m:t xml:space="preserve"> </m:t>
            </m:r>
          </m:num>
          <m:den>
            <m:sSub>
              <m:sSubPr>
                <m:ctrlPr>
                  <w:rPr>
                    <w:rFonts w:ascii="Cambria Math" w:hAnsi="Cambria Math"/>
                    <w:i/>
                    <w:kern w:val="0"/>
                    <w:szCs w:val="20"/>
                  </w:rPr>
                </m:ctrlPr>
              </m:sSubPr>
              <m:e>
                <m:r>
                  <w:rPr>
                    <w:rFonts w:ascii="Cambria Math" w:hAnsi="Cambria Math"/>
                    <w:kern w:val="0"/>
                    <w:szCs w:val="20"/>
                  </w:rPr>
                  <m:t>C</m:t>
                </m:r>
              </m:e>
              <m:sub>
                <m:r>
                  <m:rPr>
                    <m:sty m:val="p"/>
                  </m:rPr>
                  <w:rPr>
                    <w:rFonts w:ascii="Cambria Math" w:hAnsi="Cambria Math"/>
                    <w:kern w:val="0"/>
                    <w:szCs w:val="20"/>
                  </w:rPr>
                  <m:t>g</m:t>
                </m:r>
              </m:sub>
            </m:sSub>
          </m:den>
        </m:f>
        <m:r>
          <m:rPr>
            <m:sty m:val="p"/>
          </m:rPr>
          <w:rPr>
            <w:rFonts w:ascii="Cambria Math" w:hAnsi="Cambria Math"/>
            <w:kern w:val="0"/>
            <w:szCs w:val="20"/>
          </w:rPr>
          <m:t>×</m:t>
        </m:r>
        <m:r>
          <w:rPr>
            <w:rFonts w:ascii="Cambria Math" w:hAnsi="Cambria Math"/>
            <w:kern w:val="0"/>
            <w:szCs w:val="20"/>
          </w:rPr>
          <m:t>100%</m:t>
        </m:r>
      </m:oMath>
      <w:r>
        <w:rPr>
          <w:rFonts w:hint="eastAsia"/>
          <w:kern w:val="0"/>
          <w:szCs w:val="20"/>
        </w:rPr>
        <w:t>…………………………………………（</w:t>
      </w:r>
      <w:r>
        <w:rPr>
          <w:rFonts w:hint="eastAsia"/>
          <w:kern w:val="0"/>
          <w:szCs w:val="20"/>
        </w:rPr>
        <w:t>2</w:t>
      </w:r>
      <w:r>
        <w:rPr>
          <w:rFonts w:hint="eastAsia"/>
          <w:kern w:val="0"/>
          <w:szCs w:val="20"/>
        </w:rPr>
        <w:t>）</w:t>
      </w:r>
    </w:p>
    <w:p w:rsidR="00B53BB1" w:rsidRDefault="00000000">
      <w:pPr>
        <w:widowControl/>
        <w:ind w:firstLineChars="200" w:firstLine="420"/>
        <w:jc w:val="left"/>
      </w:pPr>
      <w:r>
        <w:t>式中</w:t>
      </w:r>
      <w:r>
        <w:rPr>
          <w:rFonts w:hint="eastAsia"/>
        </w:rPr>
        <w:t>：</w:t>
      </w:r>
    </w:p>
    <w:p w:rsidR="00B53BB1" w:rsidRDefault="00000000">
      <w:pPr>
        <w:pStyle w:val="aff6"/>
        <w:ind w:firstLine="420"/>
        <w:rPr>
          <w:rFonts w:hAnsi="宋体" w:cs="宋体" w:hint="eastAsia"/>
        </w:rPr>
      </w:pPr>
      <m:oMath>
        <m:sSub>
          <m:sSubPr>
            <m:ctrlPr>
              <w:rPr>
                <w:rFonts w:ascii="Cambria Math" w:hAnsi="Cambria Math" w:cs="宋体" w:hint="eastAsia"/>
              </w:rPr>
            </m:ctrlPr>
          </m:sSubPr>
          <m:e>
            <m:r>
              <w:rPr>
                <w:rFonts w:ascii="Cambria Math" w:hAnsi="Cambria Math" w:cs="宋体" w:hint="eastAsia"/>
              </w:rPr>
              <m:t>C</m:t>
            </m:r>
          </m:e>
          <m:sub>
            <m:r>
              <w:rPr>
                <w:rFonts w:ascii="Cambria Math" w:hAnsi="Cambria Math" w:cs="宋体" w:hint="eastAsia"/>
              </w:rPr>
              <m:t>s</m:t>
            </m:r>
          </m:sub>
        </m:sSub>
      </m:oMath>
      <w:r>
        <w:rPr>
          <w:rFonts w:hAnsi="宋体" w:cs="宋体" w:hint="eastAsia"/>
        </w:rPr>
        <w:t>——CPC的颗粒数量浓度测量值，单位为个每立方厘米（个/cm</w:t>
      </w:r>
      <w:r>
        <w:rPr>
          <w:rFonts w:hAnsi="宋体" w:cs="宋体" w:hint="eastAsia"/>
          <w:vertAlign w:val="superscript"/>
        </w:rPr>
        <w:t>3</w:t>
      </w:r>
      <w:r>
        <w:rPr>
          <w:rFonts w:hAnsi="宋体" w:cs="宋体" w:hint="eastAsia"/>
        </w:rPr>
        <w:t>）；</w:t>
      </w:r>
    </w:p>
    <w:p w:rsidR="00B53BB1" w:rsidRDefault="00000000">
      <w:pPr>
        <w:pStyle w:val="aff6"/>
        <w:ind w:firstLine="420"/>
        <w:rPr>
          <w:rFonts w:hAnsi="宋体" w:cs="宋体" w:hint="eastAsia"/>
        </w:rPr>
      </w:pPr>
      <m:oMath>
        <m:sSub>
          <m:sSubPr>
            <m:ctrlPr>
              <w:rPr>
                <w:rFonts w:ascii="Cambria Math" w:hAnsi="Cambria Math" w:cs="宋体" w:hint="eastAsia"/>
              </w:rPr>
            </m:ctrlPr>
          </m:sSubPr>
          <m:e>
            <m:r>
              <w:rPr>
                <w:rFonts w:ascii="Cambria Math" w:hAnsi="Cambria Math" w:cs="宋体" w:hint="eastAsia"/>
              </w:rPr>
              <m:t>C</m:t>
            </m:r>
          </m:e>
          <m:sub>
            <m:r>
              <m:rPr>
                <m:sty m:val="p"/>
              </m:rPr>
              <w:rPr>
                <w:rFonts w:ascii="Cambria Math" w:hAnsi="Cambria Math" w:cs="宋体" w:hint="eastAsia"/>
              </w:rPr>
              <m:t>g</m:t>
            </m:r>
          </m:sub>
        </m:sSub>
      </m:oMath>
      <w:r>
        <w:rPr>
          <w:rFonts w:hAnsi="宋体" w:cs="宋体" w:hint="eastAsia"/>
        </w:rPr>
        <w:t>——发生器颗粒数量浓度的理论值，单位为个每立方厘米（个/cm</w:t>
      </w:r>
      <w:r>
        <w:rPr>
          <w:rFonts w:hAnsi="宋体" w:cs="宋体" w:hint="eastAsia"/>
          <w:vertAlign w:val="superscript"/>
        </w:rPr>
        <w:t>3</w:t>
      </w:r>
      <w:r>
        <w:rPr>
          <w:rFonts w:hAnsi="宋体" w:cs="宋体" w:hint="eastAsia"/>
        </w:rPr>
        <w:t>）。</w:t>
      </w:r>
    </w:p>
    <w:p w:rsidR="00B53BB1" w:rsidRDefault="00000000">
      <w:pPr>
        <w:pStyle w:val="aff4"/>
        <w:numPr>
          <w:ilvl w:val="3"/>
          <w:numId w:val="1"/>
        </w:numPr>
        <w:spacing w:before="156" w:after="156"/>
      </w:pPr>
      <w:bookmarkStart w:id="129" w:name="_Toc180252830"/>
      <w:bookmarkStart w:id="130" w:name="_Toc11398"/>
      <w:bookmarkStart w:id="131" w:name="_Toc179963362"/>
      <w:bookmarkStart w:id="132" w:name="_Toc28312"/>
      <w:bookmarkEnd w:id="128"/>
      <w:r>
        <w:rPr>
          <w:rFonts w:hint="eastAsia"/>
        </w:rPr>
        <w:t>数量浓度稳定性</w:t>
      </w:r>
      <w:bookmarkEnd w:id="129"/>
      <w:bookmarkEnd w:id="130"/>
      <w:bookmarkEnd w:id="131"/>
    </w:p>
    <w:bookmarkEnd w:id="132"/>
    <w:p w:rsidR="00B53BB1" w:rsidRDefault="00000000">
      <w:pPr>
        <w:pStyle w:val="aff6"/>
        <w:ind w:firstLine="420"/>
        <w:rPr>
          <w:rFonts w:hAnsi="宋体" w:cs="宋体" w:hint="eastAsia"/>
        </w:rPr>
      </w:pPr>
      <w:r>
        <w:rPr>
          <w:rFonts w:hAnsi="宋体" w:cs="宋体" w:hint="eastAsia"/>
        </w:rPr>
        <w:t>将CPC连接到发生器的出口处，发生器的发生频率设定为300 Hz。待液滴稳定发生后，记录CPC的颗粒数量浓度值，根据公式（3）计算颗粒数量浓度稳定性。连续运行1 h，每10min记录1次CPC的测量结果，共计6次。</w:t>
      </w:r>
      <w:bookmarkStart w:id="133" w:name="_Toc27777"/>
    </w:p>
    <w:p w:rsidR="00B53BB1" w:rsidRDefault="00000000">
      <w:pPr>
        <w:widowControl/>
        <w:spacing w:after="156"/>
        <w:ind w:firstLine="480"/>
        <w:jc w:val="center"/>
      </w:pPr>
      <w:r>
        <w:rPr>
          <w:rFonts w:hint="eastAsia"/>
        </w:rPr>
        <w:t xml:space="preserve">                            </w:t>
      </w:r>
      <m:oMath>
        <m:r>
          <w:rPr>
            <w:rFonts w:ascii="Cambria Math" w:hAnsi="Cambria Math"/>
          </w:rPr>
          <m:t>δ=</m:t>
        </m:r>
        <m:f>
          <m:fPr>
            <m:ctrlPr>
              <w:rPr>
                <w:rFonts w:ascii="Cambria Math" w:hAnsi="Cambria Math"/>
                <w:i/>
                <w:kern w:val="0"/>
                <w:szCs w:val="20"/>
              </w:rPr>
            </m:ctrlPr>
          </m:fPr>
          <m:num>
            <m:sSub>
              <m:sSubPr>
                <m:ctrlPr>
                  <w:rPr>
                    <w:rFonts w:ascii="Cambria Math" w:eastAsia="Cambria Math" w:hAnsi="Cambria Math" w:cs="Cambria Math"/>
                    <w:kern w:val="0"/>
                    <w:szCs w:val="20"/>
                  </w:rPr>
                </m:ctrlPr>
              </m:sSubPr>
              <m:e>
                <m:r>
                  <w:rPr>
                    <w:rFonts w:ascii="Cambria Math" w:eastAsia="Cambria Math" w:hAnsi="Cambria Math" w:cs="Cambria Math"/>
                  </w:rPr>
                  <m:t>C</m:t>
                </m:r>
              </m:e>
              <m:sub>
                <m:r>
                  <w:rPr>
                    <w:rFonts w:ascii="Cambria Math" w:eastAsia="Cambria Math" w:hAnsi="Cambria Math" w:cs="Cambria Math"/>
                    <w:kern w:val="0"/>
                    <w:szCs w:val="20"/>
                  </w:rPr>
                  <m:t>m</m:t>
                </m:r>
                <m:r>
                  <w:rPr>
                    <w:rFonts w:ascii="Cambria Math" w:hAnsi="Cambria Math" w:cs="Cambria Math"/>
                    <w:kern w:val="0"/>
                    <w:szCs w:val="20"/>
                  </w:rPr>
                  <m:t>ax</m:t>
                </m:r>
              </m:sub>
            </m:sSub>
            <m:r>
              <w:rPr>
                <w:rFonts w:ascii="Cambria Math" w:hAnsi="Cambria Math" w:cs="Cambria Math"/>
                <w:kern w:val="0"/>
                <w:szCs w:val="20"/>
              </w:rPr>
              <m:t>-</m:t>
            </m:r>
            <m:sSub>
              <m:sSubPr>
                <m:ctrlPr>
                  <w:rPr>
                    <w:rFonts w:ascii="Cambria Math" w:eastAsia="Cambria Math" w:hAnsi="Cambria Math" w:cs="Cambria Math"/>
                    <w:kern w:val="0"/>
                    <w:szCs w:val="20"/>
                  </w:rPr>
                </m:ctrlPr>
              </m:sSubPr>
              <m:e>
                <m:r>
                  <w:rPr>
                    <w:rFonts w:ascii="Cambria Math" w:eastAsia="Cambria Math" w:hAnsi="Cambria Math" w:cs="Cambria Math"/>
                  </w:rPr>
                  <m:t>C</m:t>
                </m:r>
              </m:e>
              <m:sub>
                <m:r>
                  <w:rPr>
                    <w:rFonts w:ascii="Cambria Math" w:eastAsia="Cambria Math" w:hAnsi="Cambria Math" w:cs="Cambria Math"/>
                  </w:rPr>
                  <m:t>m</m:t>
                </m:r>
                <m:r>
                  <w:rPr>
                    <w:rFonts w:ascii="Cambria Math" w:hAnsi="Cambria Math" w:cs="Cambria Math"/>
                  </w:rPr>
                  <m:t>in</m:t>
                </m:r>
              </m:sub>
            </m:sSub>
          </m:num>
          <m:den>
            <m:sSub>
              <m:sSubPr>
                <m:ctrlPr>
                  <w:rPr>
                    <w:rFonts w:ascii="Cambria Math" w:eastAsia="Cambria Math" w:hAnsi="Cambria Math" w:cs="Cambria Math"/>
                    <w:kern w:val="0"/>
                    <w:szCs w:val="20"/>
                  </w:rPr>
                </m:ctrlPr>
              </m:sSubPr>
              <m:e>
                <m:r>
                  <w:rPr>
                    <w:rFonts w:ascii="Cambria Math" w:eastAsia="Cambria Math" w:hAnsi="Cambria Math" w:cs="Cambria Math"/>
                  </w:rPr>
                  <m:t>C</m:t>
                </m:r>
              </m:e>
              <m:sub>
                <m:r>
                  <w:rPr>
                    <w:rFonts w:ascii="Cambria Math" w:eastAsia="Cambria Math" w:hAnsi="Cambria Math" w:cs="Cambria Math"/>
                  </w:rPr>
                  <m:t>0</m:t>
                </m:r>
              </m:sub>
            </m:sSub>
          </m:den>
        </m:f>
        <m:r>
          <w:rPr>
            <w:rFonts w:ascii="Cambria Math" w:hAnsi="Cambria Math"/>
          </w:rPr>
          <m:t>×100%</m:t>
        </m:r>
      </m:oMath>
      <w:r>
        <w:rPr>
          <w:rFonts w:hint="eastAsia"/>
        </w:rPr>
        <w:t>…………………………………………（</w:t>
      </w:r>
      <w:r>
        <w:rPr>
          <w:rFonts w:hint="eastAsia"/>
        </w:rPr>
        <w:t>3</w:t>
      </w:r>
      <w:r>
        <w:rPr>
          <w:rFonts w:hint="eastAsia"/>
        </w:rPr>
        <w:t>）</w:t>
      </w:r>
    </w:p>
    <w:p w:rsidR="00B53BB1" w:rsidRDefault="00000000">
      <w:pPr>
        <w:widowControl/>
        <w:ind w:firstLineChars="200" w:firstLine="420"/>
        <w:jc w:val="left"/>
      </w:pPr>
      <w:r>
        <w:rPr>
          <w:rFonts w:hint="eastAsia"/>
        </w:rPr>
        <w:t>式中：</w:t>
      </w:r>
    </w:p>
    <w:p w:rsidR="00B53BB1" w:rsidRDefault="00000000">
      <w:pPr>
        <w:pStyle w:val="aff6"/>
        <w:ind w:firstLine="420"/>
        <w:rPr>
          <w:rFonts w:hAnsi="宋体" w:cs="宋体" w:hint="eastAsia"/>
        </w:rPr>
      </w:pPr>
      <m:oMath>
        <m:r>
          <w:rPr>
            <w:rFonts w:ascii="Cambria Math" w:hAnsi="Cambria Math" w:cs="宋体" w:hint="eastAsia"/>
          </w:rPr>
          <m:t>δ</m:t>
        </m:r>
      </m:oMath>
      <w:r>
        <w:rPr>
          <w:rFonts w:hAnsi="宋体" w:cs="宋体" w:hint="eastAsia"/>
        </w:rPr>
        <w:t xml:space="preserve"> ——颗粒数量浓度稳定性；</w:t>
      </w:r>
    </w:p>
    <w:p w:rsidR="00B53BB1" w:rsidRDefault="00000000">
      <w:pPr>
        <w:pStyle w:val="aff6"/>
        <w:ind w:firstLine="420"/>
        <w:rPr>
          <w:rFonts w:hAnsi="宋体" w:cs="宋体" w:hint="eastAsia"/>
        </w:rPr>
      </w:pPr>
      <m:oMath>
        <m:sSub>
          <m:sSubPr>
            <m:ctrlPr>
              <w:rPr>
                <w:rFonts w:ascii="Cambria Math" w:hAnsi="Cambria Math" w:cs="宋体" w:hint="eastAsia"/>
              </w:rPr>
            </m:ctrlPr>
          </m:sSubPr>
          <m:e>
            <m:r>
              <w:rPr>
                <w:rFonts w:ascii="Cambria Math" w:hAnsi="Cambria Math" w:cs="宋体" w:hint="eastAsia"/>
              </w:rPr>
              <m:t>C</m:t>
            </m:r>
          </m:e>
          <m:sub>
            <m:r>
              <w:rPr>
                <w:rFonts w:ascii="Cambria Math" w:hAnsi="Cambria Math" w:cs="宋体" w:hint="eastAsia"/>
              </w:rPr>
              <m:t>max</m:t>
            </m:r>
          </m:sub>
        </m:sSub>
      </m:oMath>
      <w:r>
        <w:rPr>
          <w:rFonts w:hAnsi="宋体" w:cs="宋体" w:hint="eastAsia"/>
        </w:rPr>
        <w:t>——6次测量的最大值，单位为个每立方厘米（个/cm</w:t>
      </w:r>
      <w:r>
        <w:rPr>
          <w:rFonts w:hAnsi="宋体" w:cs="宋体" w:hint="eastAsia"/>
          <w:vertAlign w:val="superscript"/>
        </w:rPr>
        <w:t>3</w:t>
      </w:r>
      <w:r>
        <w:rPr>
          <w:rFonts w:hAnsi="宋体" w:cs="宋体" w:hint="eastAsia"/>
        </w:rPr>
        <w:t>）；</w:t>
      </w:r>
    </w:p>
    <w:p w:rsidR="00B53BB1" w:rsidRDefault="00000000">
      <w:pPr>
        <w:pStyle w:val="aff6"/>
        <w:ind w:firstLine="420"/>
        <w:rPr>
          <w:rFonts w:hAnsi="宋体" w:cs="宋体" w:hint="eastAsia"/>
        </w:rPr>
      </w:pPr>
      <m:oMath>
        <m:sSub>
          <m:sSubPr>
            <m:ctrlPr>
              <w:rPr>
                <w:rFonts w:ascii="Cambria Math" w:hAnsi="Cambria Math" w:cs="宋体" w:hint="eastAsia"/>
              </w:rPr>
            </m:ctrlPr>
          </m:sSubPr>
          <m:e>
            <m:r>
              <w:rPr>
                <w:rFonts w:ascii="Cambria Math" w:hAnsi="Cambria Math" w:cs="宋体" w:hint="eastAsia"/>
              </w:rPr>
              <m:t>C</m:t>
            </m:r>
          </m:e>
          <m:sub>
            <m:r>
              <w:rPr>
                <w:rFonts w:ascii="Cambria Math" w:hAnsi="Cambria Math" w:cs="宋体" w:hint="eastAsia"/>
              </w:rPr>
              <m:t>min</m:t>
            </m:r>
          </m:sub>
        </m:sSub>
      </m:oMath>
      <w:r>
        <w:rPr>
          <w:rFonts w:hAnsi="宋体" w:cs="宋体" w:hint="eastAsia"/>
        </w:rPr>
        <w:t>——6次测量的最小值，单位为个每立方厘米（个/cm</w:t>
      </w:r>
      <w:r>
        <w:rPr>
          <w:rFonts w:hAnsi="宋体" w:cs="宋体" w:hint="eastAsia"/>
          <w:vertAlign w:val="superscript"/>
        </w:rPr>
        <w:t>3</w:t>
      </w:r>
      <w:r>
        <w:rPr>
          <w:rFonts w:hAnsi="宋体" w:cs="宋体" w:hint="eastAsia"/>
        </w:rPr>
        <w:t>）。</w:t>
      </w:r>
      <w:bookmarkStart w:id="134" w:name="_Toc9460"/>
      <w:bookmarkStart w:id="135" w:name="_Toc180252831"/>
    </w:p>
    <w:p w:rsidR="00B53BB1" w:rsidRDefault="00000000">
      <w:pPr>
        <w:pStyle w:val="aff4"/>
        <w:numPr>
          <w:ilvl w:val="3"/>
          <w:numId w:val="1"/>
        </w:numPr>
        <w:spacing w:before="156" w:after="156"/>
      </w:pPr>
      <w:r>
        <w:rPr>
          <w:rFonts w:hint="eastAsia"/>
        </w:rPr>
        <w:t>低温贮存试验</w:t>
      </w:r>
      <w:bookmarkEnd w:id="134"/>
      <w:bookmarkEnd w:id="135"/>
    </w:p>
    <w:p w:rsidR="00B53BB1" w:rsidRDefault="00000000">
      <w:pPr>
        <w:pStyle w:val="aff6"/>
        <w:ind w:firstLine="420"/>
        <w:rPr>
          <w:rFonts w:hAnsi="宋体" w:cs="宋体" w:hint="eastAsia"/>
        </w:rPr>
      </w:pPr>
      <w:r>
        <w:rPr>
          <w:rFonts w:hAnsi="宋体" w:cs="宋体" w:hint="eastAsia"/>
        </w:rPr>
        <w:t>按 GB/T 11606规定的方法进行试验，结果满足6.3.6的要求。</w:t>
      </w:r>
    </w:p>
    <w:p w:rsidR="00B53BB1" w:rsidRDefault="00000000">
      <w:pPr>
        <w:pStyle w:val="aff4"/>
        <w:numPr>
          <w:ilvl w:val="3"/>
          <w:numId w:val="1"/>
        </w:numPr>
        <w:spacing w:before="156" w:after="156"/>
        <w:rPr>
          <w:rFonts w:ascii="Times New Roman"/>
        </w:rPr>
      </w:pPr>
      <w:bookmarkStart w:id="136" w:name="_Toc180252832"/>
      <w:bookmarkStart w:id="137" w:name="_Toc15158"/>
      <w:r>
        <w:rPr>
          <w:rFonts w:ascii="Times New Roman" w:hint="eastAsia"/>
        </w:rPr>
        <w:t>高温贮存试验</w:t>
      </w:r>
      <w:bookmarkEnd w:id="136"/>
      <w:bookmarkEnd w:id="137"/>
    </w:p>
    <w:p w:rsidR="00B53BB1" w:rsidRDefault="00000000">
      <w:pPr>
        <w:pStyle w:val="aff6"/>
        <w:ind w:firstLine="420"/>
        <w:rPr>
          <w:rFonts w:hAnsi="宋体" w:cs="宋体" w:hint="eastAsia"/>
        </w:rPr>
      </w:pPr>
      <w:r>
        <w:rPr>
          <w:rFonts w:hAnsi="宋体" w:cs="宋体" w:hint="eastAsia"/>
        </w:rPr>
        <w:t>按 GB/T 11606规定的方法进行试验，结果满足6.3.7的要求。</w:t>
      </w:r>
    </w:p>
    <w:p w:rsidR="00B53BB1" w:rsidRDefault="00000000">
      <w:pPr>
        <w:pStyle w:val="aff4"/>
        <w:numPr>
          <w:ilvl w:val="3"/>
          <w:numId w:val="1"/>
        </w:numPr>
        <w:spacing w:before="156" w:after="156"/>
        <w:rPr>
          <w:rFonts w:ascii="Times New Roman"/>
        </w:rPr>
      </w:pPr>
      <w:bookmarkStart w:id="138" w:name="_Toc180252833"/>
      <w:bookmarkStart w:id="139" w:name="_Toc14717"/>
      <w:r>
        <w:rPr>
          <w:rFonts w:ascii="Times New Roman" w:hint="eastAsia"/>
        </w:rPr>
        <w:t>跌落试验试验</w:t>
      </w:r>
      <w:bookmarkEnd w:id="138"/>
      <w:bookmarkEnd w:id="139"/>
    </w:p>
    <w:p w:rsidR="00B53BB1" w:rsidRDefault="00000000">
      <w:pPr>
        <w:pStyle w:val="aff6"/>
        <w:ind w:firstLine="420"/>
        <w:rPr>
          <w:rFonts w:hAnsi="宋体" w:cs="宋体" w:hint="eastAsia"/>
        </w:rPr>
      </w:pPr>
      <w:r>
        <w:rPr>
          <w:rFonts w:hAnsi="宋体" w:cs="宋体" w:hint="eastAsia"/>
        </w:rPr>
        <w:t>按 GB/T 11606规定的方法进行试验，结果满足6.3.8的要求。</w:t>
      </w:r>
    </w:p>
    <w:p w:rsidR="00B53BB1" w:rsidRDefault="00000000">
      <w:pPr>
        <w:pStyle w:val="aff4"/>
        <w:numPr>
          <w:ilvl w:val="3"/>
          <w:numId w:val="1"/>
        </w:numPr>
        <w:spacing w:before="156" w:after="156"/>
        <w:rPr>
          <w:rFonts w:ascii="Times New Roman"/>
        </w:rPr>
      </w:pPr>
      <w:bookmarkStart w:id="140" w:name="_Toc31861"/>
      <w:bookmarkStart w:id="141" w:name="_Toc180252834"/>
      <w:r>
        <w:rPr>
          <w:rFonts w:ascii="Times New Roman" w:hint="eastAsia"/>
        </w:rPr>
        <w:t>碰撞试验试验</w:t>
      </w:r>
      <w:bookmarkEnd w:id="140"/>
      <w:bookmarkEnd w:id="141"/>
    </w:p>
    <w:p w:rsidR="00B53BB1" w:rsidRDefault="00000000">
      <w:pPr>
        <w:pStyle w:val="aff6"/>
        <w:ind w:firstLine="420"/>
        <w:rPr>
          <w:rFonts w:hAnsi="宋体" w:cs="宋体" w:hint="eastAsia"/>
        </w:rPr>
      </w:pPr>
      <w:r>
        <w:rPr>
          <w:rFonts w:hAnsi="宋体" w:cs="宋体" w:hint="eastAsia"/>
        </w:rPr>
        <w:t>按 GB/T 11606规定的方法进行试验，结果满足6.3.9的要求。</w:t>
      </w:r>
    </w:p>
    <w:p w:rsidR="00B53BB1" w:rsidRDefault="00000000">
      <w:pPr>
        <w:pStyle w:val="aff5"/>
        <w:numPr>
          <w:ilvl w:val="1"/>
          <w:numId w:val="1"/>
        </w:numPr>
        <w:spacing w:before="312" w:after="312"/>
        <w:ind w:left="10" w:hangingChars="5" w:hanging="10"/>
      </w:pPr>
      <w:bookmarkStart w:id="142" w:name="_Toc180252835"/>
      <w:bookmarkEnd w:id="133"/>
      <w:r>
        <w:rPr>
          <w:rFonts w:hint="eastAsia"/>
        </w:rPr>
        <w:lastRenderedPageBreak/>
        <w:t>检验规则</w:t>
      </w:r>
      <w:bookmarkEnd w:id="142"/>
    </w:p>
    <w:p w:rsidR="00B53BB1" w:rsidRDefault="00000000">
      <w:pPr>
        <w:pStyle w:val="aff4"/>
        <w:numPr>
          <w:ilvl w:val="2"/>
          <w:numId w:val="1"/>
        </w:numPr>
        <w:spacing w:before="156" w:after="156"/>
      </w:pPr>
      <w:bookmarkStart w:id="143" w:name="_Toc123142257"/>
      <w:bookmarkStart w:id="144" w:name="_Toc151414739"/>
      <w:bookmarkStart w:id="145" w:name="_Toc179963366"/>
      <w:bookmarkStart w:id="146" w:name="_Toc180252836"/>
      <w:bookmarkStart w:id="147" w:name="_Toc123142402"/>
      <w:bookmarkStart w:id="148" w:name="_Toc179963365"/>
      <w:r>
        <w:rPr>
          <w:rFonts w:hint="eastAsia"/>
        </w:rPr>
        <w:t>出厂检验</w:t>
      </w:r>
      <w:bookmarkEnd w:id="143"/>
      <w:bookmarkEnd w:id="144"/>
      <w:bookmarkEnd w:id="145"/>
      <w:bookmarkEnd w:id="146"/>
      <w:bookmarkEnd w:id="147"/>
    </w:p>
    <w:bookmarkEnd w:id="148"/>
    <w:p w:rsidR="00B53BB1" w:rsidRDefault="00000000">
      <w:pPr>
        <w:pStyle w:val="aff6"/>
        <w:ind w:firstLine="420"/>
        <w:rPr>
          <w:rFonts w:ascii="Times New Roman"/>
        </w:rPr>
      </w:pPr>
      <w:r>
        <w:rPr>
          <w:rFonts w:ascii="Times New Roman" w:hint="eastAsia"/>
        </w:rPr>
        <w:t>按照表</w:t>
      </w:r>
      <w:r>
        <w:rPr>
          <w:rFonts w:ascii="Times New Roman" w:hint="eastAsia"/>
        </w:rPr>
        <w:t>3</w:t>
      </w:r>
      <w:r>
        <w:rPr>
          <w:rFonts w:ascii="Times New Roman" w:hint="eastAsia"/>
        </w:rPr>
        <w:t>进行出厂检验，检验项目中出现一项不符合要求，即判定该</w:t>
      </w:r>
      <w:r>
        <w:rPr>
          <w:rFonts w:hint="eastAsia"/>
        </w:rPr>
        <w:t>发生器</w:t>
      </w:r>
      <w:r>
        <w:rPr>
          <w:rFonts w:ascii="Times New Roman" w:hint="eastAsia"/>
        </w:rPr>
        <w:t>出厂检验不合格。</w:t>
      </w:r>
    </w:p>
    <w:p w:rsidR="00B53BB1" w:rsidRDefault="00000000">
      <w:pPr>
        <w:pStyle w:val="aff6"/>
        <w:spacing w:beforeLines="50" w:before="156" w:afterLines="50" w:after="156"/>
        <w:ind w:firstLineChars="0" w:firstLine="0"/>
        <w:jc w:val="center"/>
        <w:rPr>
          <w:rFonts w:ascii="黑体" w:eastAsia="黑体" w:hAnsi="黑体" w:hint="eastAsia"/>
          <w:color w:val="000000"/>
          <w:szCs w:val="21"/>
        </w:rPr>
      </w:pPr>
      <w:r>
        <w:rPr>
          <w:rFonts w:ascii="黑体" w:eastAsia="黑体" w:hAnsi="黑体" w:hint="eastAsia"/>
          <w:color w:val="000000"/>
          <w:szCs w:val="21"/>
        </w:rPr>
        <w:t>表3  检验项目</w:t>
      </w:r>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2122"/>
        <w:gridCol w:w="1275"/>
        <w:gridCol w:w="1164"/>
        <w:gridCol w:w="1245"/>
        <w:gridCol w:w="1245"/>
        <w:gridCol w:w="1245"/>
      </w:tblGrid>
      <w:tr w:rsidR="00B53BB1">
        <w:trPr>
          <w:trHeight w:val="340"/>
          <w:jc w:val="center"/>
        </w:trPr>
        <w:tc>
          <w:tcPr>
            <w:tcW w:w="2122" w:type="dxa"/>
            <w:tcBorders>
              <w:top w:val="single" w:sz="12" w:space="0" w:color="auto"/>
              <w:left w:val="single" w:sz="12"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szCs w:val="18"/>
              </w:rPr>
            </w:pPr>
            <w:r>
              <w:rPr>
                <w:rFonts w:hint="eastAsia"/>
                <w:sz w:val="18"/>
                <w:szCs w:val="18"/>
              </w:rPr>
              <w:t>检验项目</w:t>
            </w:r>
          </w:p>
        </w:tc>
        <w:tc>
          <w:tcPr>
            <w:tcW w:w="1275" w:type="dxa"/>
            <w:tcBorders>
              <w:top w:val="single" w:sz="12"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检验要求</w:t>
            </w:r>
          </w:p>
        </w:tc>
        <w:tc>
          <w:tcPr>
            <w:tcW w:w="1164" w:type="dxa"/>
            <w:tcBorders>
              <w:top w:val="single" w:sz="12"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试验方法</w:t>
            </w:r>
          </w:p>
        </w:tc>
        <w:tc>
          <w:tcPr>
            <w:tcW w:w="1245" w:type="dxa"/>
            <w:tcBorders>
              <w:top w:val="single" w:sz="12"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出厂检验</w:t>
            </w:r>
          </w:p>
        </w:tc>
        <w:tc>
          <w:tcPr>
            <w:tcW w:w="1245" w:type="dxa"/>
            <w:tcBorders>
              <w:top w:val="single" w:sz="12"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型式检验</w:t>
            </w:r>
          </w:p>
        </w:tc>
        <w:tc>
          <w:tcPr>
            <w:tcW w:w="1245" w:type="dxa"/>
            <w:tcBorders>
              <w:top w:val="single" w:sz="12" w:space="0" w:color="auto"/>
              <w:left w:val="single" w:sz="4" w:space="0" w:color="auto"/>
              <w:bottom w:val="single" w:sz="4" w:space="0" w:color="auto"/>
              <w:right w:val="single" w:sz="12" w:space="0" w:color="auto"/>
              <w:tl2br w:val="nil"/>
              <w:tr2bl w:val="nil"/>
            </w:tcBorders>
            <w:shd w:val="clear" w:color="auto" w:fill="auto"/>
            <w:vAlign w:val="center"/>
          </w:tcPr>
          <w:p w:rsidR="00B53BB1" w:rsidRDefault="00000000">
            <w:pPr>
              <w:jc w:val="center"/>
              <w:rPr>
                <w:sz w:val="18"/>
              </w:rPr>
            </w:pPr>
            <w:r>
              <w:rPr>
                <w:rFonts w:hint="eastAsia"/>
                <w:sz w:val="18"/>
              </w:rPr>
              <w:t>维护检验</w:t>
            </w:r>
          </w:p>
        </w:tc>
      </w:tr>
      <w:tr w:rsidR="00B53BB1">
        <w:trPr>
          <w:trHeight w:val="340"/>
          <w:jc w:val="center"/>
        </w:trPr>
        <w:tc>
          <w:tcPr>
            <w:tcW w:w="2122" w:type="dxa"/>
            <w:tcBorders>
              <w:top w:val="single" w:sz="4" w:space="0" w:color="auto"/>
              <w:left w:val="single" w:sz="12" w:space="0" w:color="auto"/>
              <w:bottom w:val="single" w:sz="4" w:space="0" w:color="auto"/>
              <w:right w:val="single" w:sz="4" w:space="0" w:color="auto"/>
              <w:tl2br w:val="nil"/>
              <w:tr2bl w:val="nil"/>
            </w:tcBorders>
            <w:shd w:val="clear" w:color="auto" w:fill="auto"/>
          </w:tcPr>
          <w:p w:rsidR="00B53BB1" w:rsidRDefault="00000000">
            <w:pPr>
              <w:jc w:val="center"/>
              <w:rPr>
                <w:sz w:val="18"/>
                <w:szCs w:val="18"/>
              </w:rPr>
            </w:pPr>
            <w:r>
              <w:rPr>
                <w:rFonts w:hint="eastAsia"/>
                <w:sz w:val="18"/>
                <w:szCs w:val="18"/>
              </w:rPr>
              <w:t>外观</w:t>
            </w:r>
          </w:p>
        </w:tc>
        <w:tc>
          <w:tcPr>
            <w:tcW w:w="127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B53BB1" w:rsidRDefault="00000000">
            <w:pPr>
              <w:jc w:val="center"/>
              <w:rPr>
                <w:sz w:val="18"/>
              </w:rPr>
            </w:pPr>
            <w:r>
              <w:rPr>
                <w:rFonts w:hint="eastAsia"/>
                <w:sz w:val="18"/>
                <w:szCs w:val="18"/>
              </w:rPr>
              <w:t>6.3.1</w:t>
            </w:r>
          </w:p>
        </w:tc>
        <w:tc>
          <w:tcPr>
            <w:tcW w:w="116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7.2.1</w:t>
            </w:r>
          </w:p>
        </w:tc>
        <w:tc>
          <w:tcPr>
            <w:tcW w:w="124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w:t>
            </w:r>
          </w:p>
        </w:tc>
        <w:tc>
          <w:tcPr>
            <w:tcW w:w="124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w:t>
            </w:r>
          </w:p>
        </w:tc>
        <w:tc>
          <w:tcPr>
            <w:tcW w:w="1245" w:type="dxa"/>
            <w:tcBorders>
              <w:top w:val="single" w:sz="4" w:space="0" w:color="auto"/>
              <w:left w:val="single" w:sz="4" w:space="0" w:color="auto"/>
              <w:bottom w:val="single" w:sz="4" w:space="0" w:color="auto"/>
              <w:right w:val="single" w:sz="12" w:space="0" w:color="auto"/>
              <w:tl2br w:val="nil"/>
              <w:tr2bl w:val="nil"/>
            </w:tcBorders>
            <w:shd w:val="clear" w:color="auto" w:fill="auto"/>
            <w:vAlign w:val="center"/>
          </w:tcPr>
          <w:p w:rsidR="00B53BB1" w:rsidRDefault="00000000">
            <w:pPr>
              <w:jc w:val="center"/>
              <w:rPr>
                <w:sz w:val="18"/>
              </w:rPr>
            </w:pPr>
            <w:r>
              <w:rPr>
                <w:rFonts w:hint="eastAsia"/>
                <w:sz w:val="18"/>
              </w:rPr>
              <w:t>√</w:t>
            </w:r>
          </w:p>
        </w:tc>
      </w:tr>
      <w:tr w:rsidR="00B53BB1">
        <w:trPr>
          <w:trHeight w:val="340"/>
          <w:jc w:val="center"/>
        </w:trPr>
        <w:tc>
          <w:tcPr>
            <w:tcW w:w="2122" w:type="dxa"/>
            <w:tcBorders>
              <w:top w:val="single" w:sz="4" w:space="0" w:color="auto"/>
              <w:left w:val="single" w:sz="12" w:space="0" w:color="auto"/>
              <w:bottom w:val="single" w:sz="4" w:space="0" w:color="auto"/>
              <w:right w:val="single" w:sz="4" w:space="0" w:color="auto"/>
              <w:tl2br w:val="nil"/>
              <w:tr2bl w:val="nil"/>
            </w:tcBorders>
            <w:shd w:val="clear" w:color="auto" w:fill="auto"/>
          </w:tcPr>
          <w:p w:rsidR="00B53BB1" w:rsidRDefault="00000000">
            <w:pPr>
              <w:jc w:val="center"/>
              <w:rPr>
                <w:sz w:val="18"/>
                <w:szCs w:val="18"/>
              </w:rPr>
            </w:pPr>
            <w:r>
              <w:rPr>
                <w:rFonts w:hint="eastAsia"/>
                <w:sz w:val="18"/>
                <w:szCs w:val="18"/>
              </w:rPr>
              <w:t>气路气密性</w:t>
            </w:r>
          </w:p>
        </w:tc>
        <w:tc>
          <w:tcPr>
            <w:tcW w:w="127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B53BB1" w:rsidRDefault="00000000">
            <w:pPr>
              <w:jc w:val="center"/>
              <w:rPr>
                <w:sz w:val="18"/>
              </w:rPr>
            </w:pPr>
            <w:r>
              <w:rPr>
                <w:rFonts w:hint="eastAsia"/>
                <w:sz w:val="18"/>
                <w:szCs w:val="18"/>
              </w:rPr>
              <w:t>6.3.2</w:t>
            </w:r>
          </w:p>
        </w:tc>
        <w:tc>
          <w:tcPr>
            <w:tcW w:w="116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7.2.2</w:t>
            </w:r>
          </w:p>
        </w:tc>
        <w:tc>
          <w:tcPr>
            <w:tcW w:w="124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w:t>
            </w:r>
          </w:p>
        </w:tc>
        <w:tc>
          <w:tcPr>
            <w:tcW w:w="124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w:t>
            </w:r>
          </w:p>
        </w:tc>
        <w:tc>
          <w:tcPr>
            <w:tcW w:w="1245" w:type="dxa"/>
            <w:tcBorders>
              <w:top w:val="single" w:sz="4" w:space="0" w:color="auto"/>
              <w:left w:val="single" w:sz="4" w:space="0" w:color="auto"/>
              <w:bottom w:val="single" w:sz="4" w:space="0" w:color="auto"/>
              <w:right w:val="single" w:sz="12" w:space="0" w:color="auto"/>
              <w:tl2br w:val="nil"/>
              <w:tr2bl w:val="nil"/>
            </w:tcBorders>
            <w:shd w:val="clear" w:color="auto" w:fill="auto"/>
            <w:vAlign w:val="center"/>
          </w:tcPr>
          <w:p w:rsidR="00B53BB1" w:rsidRDefault="00000000">
            <w:pPr>
              <w:jc w:val="center"/>
              <w:rPr>
                <w:sz w:val="18"/>
              </w:rPr>
            </w:pPr>
            <w:r>
              <w:rPr>
                <w:rFonts w:hint="eastAsia"/>
                <w:sz w:val="18"/>
              </w:rPr>
              <w:t>√</w:t>
            </w:r>
          </w:p>
        </w:tc>
      </w:tr>
      <w:tr w:rsidR="00B53BB1">
        <w:trPr>
          <w:trHeight w:val="340"/>
          <w:jc w:val="center"/>
        </w:trPr>
        <w:tc>
          <w:tcPr>
            <w:tcW w:w="2122" w:type="dxa"/>
            <w:tcBorders>
              <w:top w:val="single" w:sz="4" w:space="0" w:color="auto"/>
              <w:left w:val="single" w:sz="12" w:space="0" w:color="auto"/>
              <w:bottom w:val="single" w:sz="4" w:space="0" w:color="auto"/>
              <w:right w:val="single" w:sz="4" w:space="0" w:color="auto"/>
              <w:tl2br w:val="nil"/>
              <w:tr2bl w:val="nil"/>
            </w:tcBorders>
            <w:shd w:val="clear" w:color="auto" w:fill="auto"/>
          </w:tcPr>
          <w:p w:rsidR="00B53BB1" w:rsidRDefault="00000000">
            <w:pPr>
              <w:jc w:val="center"/>
              <w:rPr>
                <w:sz w:val="18"/>
                <w:szCs w:val="18"/>
              </w:rPr>
            </w:pPr>
            <w:r>
              <w:rPr>
                <w:rFonts w:hint="eastAsia"/>
                <w:sz w:val="18"/>
                <w:szCs w:val="18"/>
              </w:rPr>
              <w:t>粒径准确性</w:t>
            </w:r>
          </w:p>
        </w:tc>
        <w:tc>
          <w:tcPr>
            <w:tcW w:w="127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B53BB1" w:rsidRDefault="00000000">
            <w:pPr>
              <w:jc w:val="center"/>
              <w:rPr>
                <w:sz w:val="18"/>
              </w:rPr>
            </w:pPr>
            <w:r>
              <w:rPr>
                <w:rFonts w:hint="eastAsia"/>
                <w:sz w:val="18"/>
                <w:szCs w:val="18"/>
              </w:rPr>
              <w:t>6.3.3</w:t>
            </w:r>
          </w:p>
        </w:tc>
        <w:tc>
          <w:tcPr>
            <w:tcW w:w="116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7.2.3</w:t>
            </w:r>
          </w:p>
        </w:tc>
        <w:tc>
          <w:tcPr>
            <w:tcW w:w="124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w:t>
            </w:r>
          </w:p>
        </w:tc>
        <w:tc>
          <w:tcPr>
            <w:tcW w:w="124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w:t>
            </w:r>
          </w:p>
        </w:tc>
        <w:tc>
          <w:tcPr>
            <w:tcW w:w="1245" w:type="dxa"/>
            <w:tcBorders>
              <w:top w:val="single" w:sz="4" w:space="0" w:color="auto"/>
              <w:left w:val="single" w:sz="4" w:space="0" w:color="auto"/>
              <w:bottom w:val="single" w:sz="4" w:space="0" w:color="auto"/>
              <w:right w:val="single" w:sz="12" w:space="0" w:color="auto"/>
              <w:tl2br w:val="nil"/>
              <w:tr2bl w:val="nil"/>
            </w:tcBorders>
            <w:shd w:val="clear" w:color="auto" w:fill="auto"/>
            <w:vAlign w:val="center"/>
          </w:tcPr>
          <w:p w:rsidR="00B53BB1" w:rsidRDefault="00000000">
            <w:pPr>
              <w:jc w:val="center"/>
              <w:rPr>
                <w:sz w:val="18"/>
              </w:rPr>
            </w:pPr>
            <w:r>
              <w:rPr>
                <w:rFonts w:hint="eastAsia"/>
                <w:sz w:val="18"/>
              </w:rPr>
              <w:t>√</w:t>
            </w:r>
          </w:p>
        </w:tc>
      </w:tr>
      <w:tr w:rsidR="00B53BB1">
        <w:trPr>
          <w:trHeight w:val="340"/>
          <w:jc w:val="center"/>
        </w:trPr>
        <w:tc>
          <w:tcPr>
            <w:tcW w:w="2122" w:type="dxa"/>
            <w:tcBorders>
              <w:top w:val="single" w:sz="4" w:space="0" w:color="auto"/>
              <w:left w:val="single" w:sz="12" w:space="0" w:color="auto"/>
              <w:bottom w:val="single" w:sz="4" w:space="0" w:color="auto"/>
              <w:right w:val="single" w:sz="4" w:space="0" w:color="auto"/>
              <w:tl2br w:val="nil"/>
              <w:tr2bl w:val="nil"/>
            </w:tcBorders>
            <w:shd w:val="clear" w:color="auto" w:fill="auto"/>
          </w:tcPr>
          <w:p w:rsidR="00B53BB1" w:rsidRDefault="00000000">
            <w:pPr>
              <w:jc w:val="center"/>
              <w:rPr>
                <w:sz w:val="18"/>
                <w:szCs w:val="18"/>
              </w:rPr>
            </w:pPr>
            <w:r>
              <w:rPr>
                <w:rFonts w:hint="eastAsia"/>
                <w:sz w:val="18"/>
                <w:szCs w:val="18"/>
              </w:rPr>
              <w:t>数量浓度准确性</w:t>
            </w:r>
          </w:p>
        </w:tc>
        <w:tc>
          <w:tcPr>
            <w:tcW w:w="127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B53BB1" w:rsidRDefault="00000000">
            <w:pPr>
              <w:jc w:val="center"/>
              <w:rPr>
                <w:sz w:val="18"/>
              </w:rPr>
            </w:pPr>
            <w:r>
              <w:rPr>
                <w:rFonts w:hint="eastAsia"/>
                <w:sz w:val="18"/>
                <w:szCs w:val="18"/>
              </w:rPr>
              <w:t>6.3.4</w:t>
            </w:r>
          </w:p>
        </w:tc>
        <w:tc>
          <w:tcPr>
            <w:tcW w:w="116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7.2.4</w:t>
            </w:r>
          </w:p>
        </w:tc>
        <w:tc>
          <w:tcPr>
            <w:tcW w:w="124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w:t>
            </w:r>
          </w:p>
        </w:tc>
        <w:tc>
          <w:tcPr>
            <w:tcW w:w="124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w:t>
            </w:r>
          </w:p>
        </w:tc>
        <w:tc>
          <w:tcPr>
            <w:tcW w:w="1245" w:type="dxa"/>
            <w:tcBorders>
              <w:top w:val="single" w:sz="4" w:space="0" w:color="auto"/>
              <w:left w:val="single" w:sz="4" w:space="0" w:color="auto"/>
              <w:bottom w:val="single" w:sz="4" w:space="0" w:color="auto"/>
              <w:right w:val="single" w:sz="12" w:space="0" w:color="auto"/>
              <w:tl2br w:val="nil"/>
              <w:tr2bl w:val="nil"/>
            </w:tcBorders>
            <w:shd w:val="clear" w:color="auto" w:fill="auto"/>
            <w:vAlign w:val="center"/>
          </w:tcPr>
          <w:p w:rsidR="00B53BB1" w:rsidRDefault="00000000">
            <w:pPr>
              <w:jc w:val="center"/>
              <w:rPr>
                <w:sz w:val="18"/>
              </w:rPr>
            </w:pPr>
            <w:r>
              <w:rPr>
                <w:rFonts w:hint="eastAsia"/>
                <w:sz w:val="18"/>
              </w:rPr>
              <w:t>√</w:t>
            </w:r>
          </w:p>
        </w:tc>
      </w:tr>
      <w:tr w:rsidR="00B53BB1">
        <w:trPr>
          <w:trHeight w:val="340"/>
          <w:jc w:val="center"/>
        </w:trPr>
        <w:tc>
          <w:tcPr>
            <w:tcW w:w="2122" w:type="dxa"/>
            <w:tcBorders>
              <w:top w:val="single" w:sz="4" w:space="0" w:color="auto"/>
              <w:left w:val="single" w:sz="12" w:space="0" w:color="auto"/>
              <w:bottom w:val="single" w:sz="4" w:space="0" w:color="auto"/>
              <w:right w:val="single" w:sz="4" w:space="0" w:color="auto"/>
              <w:tl2br w:val="nil"/>
              <w:tr2bl w:val="nil"/>
            </w:tcBorders>
            <w:shd w:val="clear" w:color="auto" w:fill="auto"/>
          </w:tcPr>
          <w:p w:rsidR="00B53BB1" w:rsidRDefault="00000000">
            <w:pPr>
              <w:jc w:val="center"/>
              <w:rPr>
                <w:sz w:val="18"/>
                <w:szCs w:val="18"/>
              </w:rPr>
            </w:pPr>
            <w:r>
              <w:rPr>
                <w:rFonts w:hint="eastAsia"/>
                <w:sz w:val="18"/>
                <w:szCs w:val="18"/>
              </w:rPr>
              <w:t>数量浓度稳定性</w:t>
            </w:r>
          </w:p>
        </w:tc>
        <w:tc>
          <w:tcPr>
            <w:tcW w:w="127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B53BB1" w:rsidRDefault="00000000">
            <w:pPr>
              <w:jc w:val="center"/>
              <w:rPr>
                <w:sz w:val="18"/>
              </w:rPr>
            </w:pPr>
            <w:r>
              <w:rPr>
                <w:rFonts w:hint="eastAsia"/>
                <w:sz w:val="18"/>
                <w:szCs w:val="18"/>
              </w:rPr>
              <w:t>6.3.5</w:t>
            </w:r>
          </w:p>
        </w:tc>
        <w:tc>
          <w:tcPr>
            <w:tcW w:w="116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7.2.5</w:t>
            </w:r>
          </w:p>
        </w:tc>
        <w:tc>
          <w:tcPr>
            <w:tcW w:w="124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w:t>
            </w:r>
          </w:p>
        </w:tc>
        <w:tc>
          <w:tcPr>
            <w:tcW w:w="124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w:t>
            </w:r>
          </w:p>
        </w:tc>
        <w:tc>
          <w:tcPr>
            <w:tcW w:w="1245" w:type="dxa"/>
            <w:tcBorders>
              <w:top w:val="single" w:sz="4" w:space="0" w:color="auto"/>
              <w:left w:val="single" w:sz="4" w:space="0" w:color="auto"/>
              <w:bottom w:val="single" w:sz="4" w:space="0" w:color="auto"/>
              <w:right w:val="single" w:sz="12" w:space="0" w:color="auto"/>
              <w:tl2br w:val="nil"/>
              <w:tr2bl w:val="nil"/>
            </w:tcBorders>
            <w:shd w:val="clear" w:color="auto" w:fill="auto"/>
            <w:vAlign w:val="center"/>
          </w:tcPr>
          <w:p w:rsidR="00B53BB1" w:rsidRDefault="00000000">
            <w:pPr>
              <w:jc w:val="center"/>
              <w:rPr>
                <w:sz w:val="18"/>
              </w:rPr>
            </w:pPr>
            <w:r>
              <w:rPr>
                <w:rFonts w:hint="eastAsia"/>
                <w:sz w:val="18"/>
              </w:rPr>
              <w:t>√</w:t>
            </w:r>
          </w:p>
        </w:tc>
      </w:tr>
      <w:tr w:rsidR="00B53BB1">
        <w:trPr>
          <w:trHeight w:val="340"/>
          <w:jc w:val="center"/>
        </w:trPr>
        <w:tc>
          <w:tcPr>
            <w:tcW w:w="2122" w:type="dxa"/>
            <w:tcBorders>
              <w:top w:val="single" w:sz="4" w:space="0" w:color="auto"/>
              <w:left w:val="single" w:sz="12" w:space="0" w:color="auto"/>
              <w:bottom w:val="single" w:sz="4" w:space="0" w:color="auto"/>
              <w:right w:val="single" w:sz="4" w:space="0" w:color="auto"/>
              <w:tl2br w:val="nil"/>
              <w:tr2bl w:val="nil"/>
            </w:tcBorders>
            <w:shd w:val="clear" w:color="auto" w:fill="auto"/>
          </w:tcPr>
          <w:p w:rsidR="00B53BB1" w:rsidRDefault="00000000">
            <w:pPr>
              <w:jc w:val="center"/>
              <w:rPr>
                <w:sz w:val="18"/>
                <w:szCs w:val="18"/>
              </w:rPr>
            </w:pPr>
            <w:r>
              <w:rPr>
                <w:rFonts w:hint="eastAsia"/>
                <w:sz w:val="18"/>
                <w:szCs w:val="18"/>
              </w:rPr>
              <w:t>低温贮存</w:t>
            </w:r>
          </w:p>
        </w:tc>
        <w:tc>
          <w:tcPr>
            <w:tcW w:w="127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B53BB1" w:rsidRDefault="00000000">
            <w:pPr>
              <w:jc w:val="center"/>
              <w:rPr>
                <w:sz w:val="18"/>
              </w:rPr>
            </w:pPr>
            <w:r>
              <w:rPr>
                <w:rFonts w:hint="eastAsia"/>
                <w:sz w:val="18"/>
                <w:szCs w:val="18"/>
              </w:rPr>
              <w:t>6.3.6</w:t>
            </w:r>
          </w:p>
        </w:tc>
        <w:tc>
          <w:tcPr>
            <w:tcW w:w="116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7.2.6</w:t>
            </w:r>
          </w:p>
        </w:tc>
        <w:tc>
          <w:tcPr>
            <w:tcW w:w="124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rPr>
              <w:t>×</w:t>
            </w:r>
          </w:p>
        </w:tc>
        <w:tc>
          <w:tcPr>
            <w:tcW w:w="124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B53BB1" w:rsidRDefault="00000000">
            <w:pPr>
              <w:jc w:val="center"/>
              <w:rPr>
                <w:sz w:val="18"/>
              </w:rPr>
            </w:pPr>
            <w:r>
              <w:rPr>
                <w:rFonts w:hint="eastAsia"/>
                <w:sz w:val="18"/>
              </w:rPr>
              <w:t>√</w:t>
            </w:r>
          </w:p>
        </w:tc>
        <w:tc>
          <w:tcPr>
            <w:tcW w:w="1245" w:type="dxa"/>
            <w:tcBorders>
              <w:top w:val="single" w:sz="4" w:space="0" w:color="auto"/>
              <w:left w:val="single" w:sz="4" w:space="0" w:color="auto"/>
              <w:bottom w:val="single" w:sz="4" w:space="0" w:color="auto"/>
              <w:right w:val="single" w:sz="12" w:space="0" w:color="auto"/>
              <w:tl2br w:val="nil"/>
              <w:tr2bl w:val="nil"/>
            </w:tcBorders>
            <w:shd w:val="clear" w:color="auto" w:fill="auto"/>
            <w:vAlign w:val="center"/>
          </w:tcPr>
          <w:p w:rsidR="00B53BB1" w:rsidRDefault="00000000">
            <w:pPr>
              <w:jc w:val="center"/>
              <w:rPr>
                <w:sz w:val="18"/>
              </w:rPr>
            </w:pPr>
            <w:r>
              <w:rPr>
                <w:rFonts w:hint="eastAsia"/>
              </w:rPr>
              <w:t>×</w:t>
            </w:r>
          </w:p>
        </w:tc>
      </w:tr>
      <w:tr w:rsidR="00B53BB1">
        <w:trPr>
          <w:trHeight w:val="340"/>
          <w:jc w:val="center"/>
        </w:trPr>
        <w:tc>
          <w:tcPr>
            <w:tcW w:w="2122" w:type="dxa"/>
            <w:tcBorders>
              <w:top w:val="single" w:sz="4" w:space="0" w:color="auto"/>
              <w:left w:val="single" w:sz="12" w:space="0" w:color="auto"/>
              <w:bottom w:val="single" w:sz="4" w:space="0" w:color="auto"/>
              <w:right w:val="single" w:sz="4" w:space="0" w:color="auto"/>
              <w:tl2br w:val="nil"/>
              <w:tr2bl w:val="nil"/>
            </w:tcBorders>
            <w:shd w:val="clear" w:color="auto" w:fill="auto"/>
          </w:tcPr>
          <w:p w:rsidR="00B53BB1" w:rsidRDefault="00000000">
            <w:pPr>
              <w:jc w:val="center"/>
              <w:rPr>
                <w:sz w:val="18"/>
                <w:szCs w:val="18"/>
              </w:rPr>
            </w:pPr>
            <w:r>
              <w:rPr>
                <w:rFonts w:hint="eastAsia"/>
                <w:sz w:val="18"/>
                <w:szCs w:val="18"/>
              </w:rPr>
              <w:t>高温贮存</w:t>
            </w:r>
          </w:p>
        </w:tc>
        <w:tc>
          <w:tcPr>
            <w:tcW w:w="127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B53BB1" w:rsidRDefault="00000000">
            <w:pPr>
              <w:jc w:val="center"/>
              <w:rPr>
                <w:sz w:val="18"/>
              </w:rPr>
            </w:pPr>
            <w:r>
              <w:rPr>
                <w:rFonts w:hint="eastAsia"/>
                <w:sz w:val="18"/>
                <w:szCs w:val="18"/>
              </w:rPr>
              <w:t>6.3.7</w:t>
            </w:r>
          </w:p>
        </w:tc>
        <w:tc>
          <w:tcPr>
            <w:tcW w:w="1164"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B53BB1" w:rsidRDefault="00000000">
            <w:pPr>
              <w:jc w:val="center"/>
              <w:rPr>
                <w:sz w:val="18"/>
              </w:rPr>
            </w:pPr>
            <w:r>
              <w:rPr>
                <w:rFonts w:hint="eastAsia"/>
                <w:sz w:val="18"/>
              </w:rPr>
              <w:t>7.2.7</w:t>
            </w:r>
          </w:p>
        </w:tc>
        <w:tc>
          <w:tcPr>
            <w:tcW w:w="124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B53BB1" w:rsidRDefault="00000000">
            <w:pPr>
              <w:jc w:val="center"/>
              <w:rPr>
                <w:sz w:val="18"/>
              </w:rPr>
            </w:pPr>
            <w:r>
              <w:rPr>
                <w:rFonts w:hint="eastAsia"/>
              </w:rPr>
              <w:t>×</w:t>
            </w:r>
          </w:p>
        </w:tc>
        <w:tc>
          <w:tcPr>
            <w:tcW w:w="124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B53BB1" w:rsidRDefault="00000000">
            <w:pPr>
              <w:jc w:val="center"/>
              <w:rPr>
                <w:sz w:val="18"/>
              </w:rPr>
            </w:pPr>
            <w:r>
              <w:rPr>
                <w:rFonts w:hint="eastAsia"/>
              </w:rPr>
              <w:t>√</w:t>
            </w:r>
          </w:p>
        </w:tc>
        <w:tc>
          <w:tcPr>
            <w:tcW w:w="1245" w:type="dxa"/>
            <w:tcBorders>
              <w:top w:val="single" w:sz="4" w:space="0" w:color="auto"/>
              <w:left w:val="single" w:sz="4" w:space="0" w:color="auto"/>
              <w:bottom w:val="single" w:sz="4" w:space="0" w:color="auto"/>
              <w:right w:val="single" w:sz="12" w:space="0" w:color="auto"/>
              <w:tl2br w:val="nil"/>
              <w:tr2bl w:val="nil"/>
            </w:tcBorders>
            <w:shd w:val="clear" w:color="auto" w:fill="auto"/>
          </w:tcPr>
          <w:p w:rsidR="00B53BB1" w:rsidRDefault="00000000">
            <w:pPr>
              <w:jc w:val="center"/>
              <w:rPr>
                <w:sz w:val="18"/>
              </w:rPr>
            </w:pPr>
            <w:r>
              <w:rPr>
                <w:rFonts w:hint="eastAsia"/>
              </w:rPr>
              <w:t>×</w:t>
            </w:r>
          </w:p>
        </w:tc>
      </w:tr>
      <w:tr w:rsidR="00B53BB1">
        <w:trPr>
          <w:trHeight w:val="340"/>
          <w:jc w:val="center"/>
        </w:trPr>
        <w:tc>
          <w:tcPr>
            <w:tcW w:w="2122" w:type="dxa"/>
            <w:tcBorders>
              <w:top w:val="single" w:sz="4" w:space="0" w:color="auto"/>
              <w:left w:val="single" w:sz="12" w:space="0" w:color="auto"/>
              <w:bottom w:val="single" w:sz="4" w:space="0" w:color="auto"/>
              <w:right w:val="single" w:sz="4" w:space="0" w:color="auto"/>
              <w:tl2br w:val="nil"/>
              <w:tr2bl w:val="nil"/>
            </w:tcBorders>
            <w:shd w:val="clear" w:color="auto" w:fill="auto"/>
          </w:tcPr>
          <w:p w:rsidR="00B53BB1" w:rsidRDefault="00000000">
            <w:pPr>
              <w:jc w:val="center"/>
              <w:rPr>
                <w:sz w:val="18"/>
                <w:szCs w:val="18"/>
              </w:rPr>
            </w:pPr>
            <w:r>
              <w:rPr>
                <w:rFonts w:hint="eastAsia"/>
                <w:sz w:val="18"/>
                <w:szCs w:val="18"/>
              </w:rPr>
              <w:t>跌落试验</w:t>
            </w:r>
          </w:p>
        </w:tc>
        <w:tc>
          <w:tcPr>
            <w:tcW w:w="127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B53BB1" w:rsidRDefault="00000000">
            <w:pPr>
              <w:jc w:val="center"/>
              <w:rPr>
                <w:sz w:val="18"/>
              </w:rPr>
            </w:pPr>
            <w:r>
              <w:rPr>
                <w:rFonts w:hint="eastAsia"/>
                <w:sz w:val="18"/>
                <w:szCs w:val="18"/>
              </w:rPr>
              <w:t>6.3.8</w:t>
            </w:r>
          </w:p>
        </w:tc>
        <w:tc>
          <w:tcPr>
            <w:tcW w:w="1164"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B53BB1" w:rsidRDefault="00000000">
            <w:pPr>
              <w:jc w:val="center"/>
              <w:rPr>
                <w:sz w:val="18"/>
              </w:rPr>
            </w:pPr>
            <w:r>
              <w:rPr>
                <w:rFonts w:hint="eastAsia"/>
                <w:sz w:val="18"/>
              </w:rPr>
              <w:t>7.2.8</w:t>
            </w:r>
          </w:p>
        </w:tc>
        <w:tc>
          <w:tcPr>
            <w:tcW w:w="124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B53BB1" w:rsidRDefault="00000000">
            <w:pPr>
              <w:jc w:val="center"/>
              <w:rPr>
                <w:sz w:val="18"/>
              </w:rPr>
            </w:pPr>
            <w:r>
              <w:rPr>
                <w:rFonts w:hint="eastAsia"/>
              </w:rPr>
              <w:t>×</w:t>
            </w:r>
          </w:p>
        </w:tc>
        <w:tc>
          <w:tcPr>
            <w:tcW w:w="124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B53BB1" w:rsidRDefault="00000000">
            <w:pPr>
              <w:jc w:val="center"/>
              <w:rPr>
                <w:sz w:val="18"/>
              </w:rPr>
            </w:pPr>
            <w:r>
              <w:rPr>
                <w:rFonts w:hint="eastAsia"/>
              </w:rPr>
              <w:t>√</w:t>
            </w:r>
          </w:p>
        </w:tc>
        <w:tc>
          <w:tcPr>
            <w:tcW w:w="1245" w:type="dxa"/>
            <w:tcBorders>
              <w:top w:val="single" w:sz="4" w:space="0" w:color="auto"/>
              <w:left w:val="single" w:sz="4" w:space="0" w:color="auto"/>
              <w:bottom w:val="single" w:sz="4" w:space="0" w:color="auto"/>
              <w:right w:val="single" w:sz="12" w:space="0" w:color="auto"/>
              <w:tl2br w:val="nil"/>
              <w:tr2bl w:val="nil"/>
            </w:tcBorders>
            <w:shd w:val="clear" w:color="auto" w:fill="auto"/>
          </w:tcPr>
          <w:p w:rsidR="00B53BB1" w:rsidRDefault="00000000">
            <w:pPr>
              <w:jc w:val="center"/>
              <w:rPr>
                <w:sz w:val="18"/>
              </w:rPr>
            </w:pPr>
            <w:r>
              <w:rPr>
                <w:rFonts w:hint="eastAsia"/>
              </w:rPr>
              <w:t>×</w:t>
            </w:r>
          </w:p>
        </w:tc>
      </w:tr>
      <w:tr w:rsidR="00B53BB1">
        <w:trPr>
          <w:trHeight w:val="340"/>
          <w:jc w:val="center"/>
        </w:trPr>
        <w:tc>
          <w:tcPr>
            <w:tcW w:w="2122" w:type="dxa"/>
            <w:tcBorders>
              <w:top w:val="single" w:sz="4" w:space="0" w:color="auto"/>
              <w:left w:val="single" w:sz="12" w:space="0" w:color="auto"/>
              <w:bottom w:val="single" w:sz="4" w:space="0" w:color="auto"/>
              <w:right w:val="single" w:sz="4" w:space="0" w:color="auto"/>
              <w:tl2br w:val="nil"/>
              <w:tr2bl w:val="nil"/>
            </w:tcBorders>
            <w:shd w:val="clear" w:color="auto" w:fill="auto"/>
          </w:tcPr>
          <w:p w:rsidR="00B53BB1" w:rsidRDefault="00000000">
            <w:pPr>
              <w:jc w:val="center"/>
              <w:rPr>
                <w:sz w:val="18"/>
                <w:szCs w:val="18"/>
              </w:rPr>
            </w:pPr>
            <w:r>
              <w:rPr>
                <w:rFonts w:hint="eastAsia"/>
                <w:sz w:val="18"/>
                <w:szCs w:val="18"/>
              </w:rPr>
              <w:t>碰撞试验</w:t>
            </w:r>
          </w:p>
        </w:tc>
        <w:tc>
          <w:tcPr>
            <w:tcW w:w="127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B53BB1" w:rsidRDefault="00000000">
            <w:pPr>
              <w:jc w:val="center"/>
              <w:rPr>
                <w:sz w:val="18"/>
              </w:rPr>
            </w:pPr>
            <w:r>
              <w:rPr>
                <w:rFonts w:hint="eastAsia"/>
                <w:sz w:val="18"/>
                <w:szCs w:val="18"/>
              </w:rPr>
              <w:t>6.3.9</w:t>
            </w:r>
          </w:p>
        </w:tc>
        <w:tc>
          <w:tcPr>
            <w:tcW w:w="1164"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B53BB1" w:rsidRDefault="00000000">
            <w:pPr>
              <w:jc w:val="center"/>
              <w:rPr>
                <w:sz w:val="18"/>
              </w:rPr>
            </w:pPr>
            <w:r>
              <w:rPr>
                <w:rFonts w:hint="eastAsia"/>
                <w:sz w:val="18"/>
              </w:rPr>
              <w:t>7.2.9</w:t>
            </w:r>
          </w:p>
        </w:tc>
        <w:tc>
          <w:tcPr>
            <w:tcW w:w="124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B53BB1" w:rsidRDefault="00000000">
            <w:pPr>
              <w:jc w:val="center"/>
              <w:rPr>
                <w:sz w:val="18"/>
              </w:rPr>
            </w:pPr>
            <w:r>
              <w:rPr>
                <w:rFonts w:hint="eastAsia"/>
              </w:rPr>
              <w:t>×</w:t>
            </w:r>
          </w:p>
        </w:tc>
        <w:tc>
          <w:tcPr>
            <w:tcW w:w="1245"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B53BB1" w:rsidRDefault="00000000">
            <w:pPr>
              <w:jc w:val="center"/>
              <w:rPr>
                <w:sz w:val="18"/>
              </w:rPr>
            </w:pPr>
            <w:r>
              <w:rPr>
                <w:rFonts w:hint="eastAsia"/>
              </w:rPr>
              <w:t>√</w:t>
            </w:r>
          </w:p>
        </w:tc>
        <w:tc>
          <w:tcPr>
            <w:tcW w:w="1245" w:type="dxa"/>
            <w:tcBorders>
              <w:top w:val="single" w:sz="4" w:space="0" w:color="auto"/>
              <w:left w:val="single" w:sz="4" w:space="0" w:color="auto"/>
              <w:bottom w:val="single" w:sz="4" w:space="0" w:color="auto"/>
              <w:right w:val="single" w:sz="12" w:space="0" w:color="auto"/>
              <w:tl2br w:val="nil"/>
              <w:tr2bl w:val="nil"/>
            </w:tcBorders>
            <w:shd w:val="clear" w:color="auto" w:fill="auto"/>
          </w:tcPr>
          <w:p w:rsidR="00B53BB1" w:rsidRDefault="00000000">
            <w:pPr>
              <w:jc w:val="center"/>
              <w:rPr>
                <w:sz w:val="18"/>
              </w:rPr>
            </w:pPr>
            <w:r>
              <w:rPr>
                <w:rFonts w:hint="eastAsia"/>
              </w:rPr>
              <w:t>×</w:t>
            </w:r>
          </w:p>
        </w:tc>
      </w:tr>
      <w:tr w:rsidR="00B53BB1">
        <w:trPr>
          <w:trHeight w:val="340"/>
          <w:jc w:val="center"/>
        </w:trPr>
        <w:tc>
          <w:tcPr>
            <w:tcW w:w="8296" w:type="dxa"/>
            <w:gridSpan w:val="6"/>
            <w:tcBorders>
              <w:top w:val="single" w:sz="4" w:space="0" w:color="auto"/>
              <w:left w:val="single" w:sz="12" w:space="0" w:color="auto"/>
              <w:bottom w:val="single" w:sz="12" w:space="0" w:color="auto"/>
              <w:right w:val="single" w:sz="12" w:space="0" w:color="auto"/>
              <w:tl2br w:val="nil"/>
              <w:tr2bl w:val="nil"/>
            </w:tcBorders>
            <w:shd w:val="clear" w:color="auto" w:fill="auto"/>
          </w:tcPr>
          <w:p w:rsidR="00B53BB1" w:rsidRDefault="00000000">
            <w:pPr>
              <w:ind w:firstLineChars="200" w:firstLine="360"/>
              <w:jc w:val="left"/>
              <w:rPr>
                <w:sz w:val="18"/>
              </w:rPr>
            </w:pPr>
            <w:r>
              <w:rPr>
                <w:rFonts w:ascii="黑体" w:eastAsia="黑体" w:hAnsi="黑体" w:cs="黑体" w:hint="eastAsia"/>
                <w:sz w:val="18"/>
              </w:rPr>
              <w:t>注：</w:t>
            </w:r>
            <w:r>
              <w:rPr>
                <w:rFonts w:hint="eastAsia"/>
                <w:sz w:val="18"/>
              </w:rPr>
              <w:t>“√”为检验项目，“×”为不检项目。</w:t>
            </w:r>
          </w:p>
        </w:tc>
      </w:tr>
    </w:tbl>
    <w:p w:rsidR="00B53BB1" w:rsidRDefault="00B53BB1">
      <w:pPr>
        <w:pStyle w:val="aff6"/>
        <w:ind w:firstLine="420"/>
        <w:rPr>
          <w:rFonts w:ascii="Times New Roman"/>
        </w:rPr>
      </w:pPr>
    </w:p>
    <w:p w:rsidR="00B53BB1" w:rsidRDefault="00000000">
      <w:pPr>
        <w:pStyle w:val="aff4"/>
        <w:numPr>
          <w:ilvl w:val="2"/>
          <w:numId w:val="1"/>
        </w:numPr>
        <w:spacing w:before="156" w:after="156"/>
      </w:pPr>
      <w:bookmarkStart w:id="149" w:name="_Toc180252837"/>
      <w:bookmarkStart w:id="150" w:name="_Toc123142258"/>
      <w:bookmarkStart w:id="151" w:name="_Toc102744343"/>
      <w:bookmarkStart w:id="152" w:name="_Toc123142403"/>
      <w:bookmarkStart w:id="153" w:name="_Toc179963367"/>
      <w:bookmarkStart w:id="154" w:name="_Toc151414740"/>
      <w:bookmarkStart w:id="155" w:name="_Toc12405"/>
      <w:bookmarkStart w:id="156" w:name="_Toc180252839"/>
      <w:r>
        <w:rPr>
          <w:rFonts w:hint="eastAsia"/>
        </w:rPr>
        <w:t>型式检验</w:t>
      </w:r>
      <w:bookmarkEnd w:id="149"/>
      <w:bookmarkEnd w:id="150"/>
      <w:bookmarkEnd w:id="151"/>
      <w:bookmarkEnd w:id="152"/>
      <w:bookmarkEnd w:id="153"/>
      <w:bookmarkEnd w:id="154"/>
    </w:p>
    <w:p w:rsidR="00B53BB1" w:rsidRDefault="00000000">
      <w:pPr>
        <w:pStyle w:val="aff4"/>
        <w:numPr>
          <w:ilvl w:val="3"/>
          <w:numId w:val="1"/>
        </w:numPr>
        <w:spacing w:beforeLines="0" w:before="0" w:afterLines="0" w:after="0"/>
        <w:rPr>
          <w:rFonts w:ascii="宋体" w:eastAsia="宋体" w:hAnsi="宋体" w:cs="宋体" w:hint="eastAsia"/>
        </w:rPr>
      </w:pPr>
      <w:bookmarkStart w:id="157" w:name="_Toc11720"/>
      <w:bookmarkStart w:id="158" w:name="_Toc180252838"/>
      <w:r>
        <w:rPr>
          <w:rFonts w:ascii="宋体" w:eastAsia="宋体" w:hAnsi="宋体" w:cs="宋体" w:hint="eastAsia"/>
        </w:rPr>
        <w:t>单分散气溶胶发生器存在下列情况之一时，应进行型式检验。</w:t>
      </w:r>
      <w:bookmarkEnd w:id="157"/>
      <w:bookmarkEnd w:id="158"/>
    </w:p>
    <w:p w:rsidR="00B53BB1" w:rsidRDefault="00000000">
      <w:pPr>
        <w:pStyle w:val="aff6"/>
        <w:numPr>
          <w:ilvl w:val="0"/>
          <w:numId w:val="10"/>
        </w:numPr>
        <w:ind w:leftChars="200" w:left="862" w:firstLineChars="0" w:hanging="442"/>
        <w:rPr>
          <w:rFonts w:ascii="Times New Roman"/>
        </w:rPr>
      </w:pPr>
      <w:r>
        <w:rPr>
          <w:rFonts w:ascii="Times New Roman" w:hint="eastAsia"/>
        </w:rPr>
        <w:t>发生器定型投产鉴定时；</w:t>
      </w:r>
    </w:p>
    <w:p w:rsidR="00B53BB1" w:rsidRDefault="00000000">
      <w:pPr>
        <w:pStyle w:val="aff6"/>
        <w:numPr>
          <w:ilvl w:val="0"/>
          <w:numId w:val="10"/>
        </w:numPr>
        <w:ind w:leftChars="200" w:left="862" w:firstLineChars="0" w:hanging="442"/>
        <w:rPr>
          <w:rFonts w:ascii="Times New Roman"/>
        </w:rPr>
      </w:pPr>
      <w:r>
        <w:rPr>
          <w:rFonts w:ascii="Times New Roman" w:hint="eastAsia"/>
        </w:rPr>
        <w:t>发生器正式生产后，如结构、材料、工艺有较大改变，可能影响发生器性能时；</w:t>
      </w:r>
    </w:p>
    <w:p w:rsidR="00B53BB1" w:rsidRDefault="00000000">
      <w:pPr>
        <w:pStyle w:val="aff6"/>
        <w:numPr>
          <w:ilvl w:val="0"/>
          <w:numId w:val="10"/>
        </w:numPr>
        <w:ind w:leftChars="200" w:left="862" w:firstLineChars="0" w:hanging="442"/>
        <w:rPr>
          <w:rFonts w:ascii="Times New Roman"/>
        </w:rPr>
      </w:pPr>
      <w:r>
        <w:rPr>
          <w:rFonts w:ascii="Times New Roman" w:hint="eastAsia"/>
        </w:rPr>
        <w:t>发生器正常生产时，定期或累计一定产量后；</w:t>
      </w:r>
    </w:p>
    <w:p w:rsidR="00B53BB1" w:rsidRDefault="00000000">
      <w:pPr>
        <w:pStyle w:val="aff6"/>
        <w:numPr>
          <w:ilvl w:val="0"/>
          <w:numId w:val="10"/>
        </w:numPr>
        <w:ind w:leftChars="200" w:left="862" w:firstLineChars="0" w:hanging="442"/>
        <w:rPr>
          <w:rFonts w:ascii="Times New Roman"/>
        </w:rPr>
      </w:pPr>
      <w:r>
        <w:rPr>
          <w:rFonts w:ascii="Times New Roman" w:hint="eastAsia"/>
        </w:rPr>
        <w:t>发生器长期停产后，恢复生产时；</w:t>
      </w:r>
    </w:p>
    <w:p w:rsidR="00B53BB1" w:rsidRDefault="00000000">
      <w:pPr>
        <w:pStyle w:val="aff6"/>
        <w:numPr>
          <w:ilvl w:val="0"/>
          <w:numId w:val="10"/>
        </w:numPr>
        <w:ind w:leftChars="200" w:left="862" w:firstLineChars="0" w:hanging="442"/>
        <w:rPr>
          <w:rFonts w:ascii="Times New Roman"/>
        </w:rPr>
      </w:pPr>
      <w:r>
        <w:rPr>
          <w:rFonts w:ascii="Times New Roman" w:hint="eastAsia"/>
        </w:rPr>
        <w:t>出厂检验结果与上次型式检验有较大差异时；</w:t>
      </w:r>
    </w:p>
    <w:p w:rsidR="00B53BB1" w:rsidRDefault="00000000">
      <w:pPr>
        <w:pStyle w:val="aff6"/>
        <w:numPr>
          <w:ilvl w:val="0"/>
          <w:numId w:val="10"/>
        </w:numPr>
        <w:ind w:leftChars="200" w:left="862" w:firstLineChars="0" w:hanging="442"/>
        <w:rPr>
          <w:rFonts w:ascii="Times New Roman"/>
        </w:rPr>
      </w:pPr>
      <w:r>
        <w:rPr>
          <w:rFonts w:ascii="Times New Roman" w:hint="eastAsia"/>
        </w:rPr>
        <w:t>国家有关部门提出进行型式检验的要求时。</w:t>
      </w:r>
    </w:p>
    <w:p w:rsidR="00B53BB1" w:rsidRDefault="00000000">
      <w:pPr>
        <w:pStyle w:val="aff4"/>
        <w:numPr>
          <w:ilvl w:val="3"/>
          <w:numId w:val="1"/>
        </w:numPr>
        <w:spacing w:beforeLines="0" w:before="0" w:afterLines="0" w:after="0"/>
        <w:rPr>
          <w:rFonts w:ascii="宋体" w:eastAsia="宋体" w:hAnsi="宋体" w:cs="宋体" w:hint="eastAsia"/>
        </w:rPr>
      </w:pPr>
      <w:r>
        <w:rPr>
          <w:rFonts w:ascii="宋体" w:eastAsia="宋体" w:hAnsi="宋体" w:cs="宋体" w:hint="eastAsia"/>
        </w:rPr>
        <w:t>按照表3进行型式检验，检验项目中出现一项不符合要求，判定该发生器型式检验不合格。</w:t>
      </w:r>
      <w:bookmarkEnd w:id="155"/>
      <w:bookmarkEnd w:id="156"/>
    </w:p>
    <w:p w:rsidR="00B53BB1" w:rsidRDefault="00000000">
      <w:pPr>
        <w:pStyle w:val="aff4"/>
        <w:numPr>
          <w:ilvl w:val="2"/>
          <w:numId w:val="1"/>
        </w:numPr>
        <w:spacing w:before="156" w:after="156"/>
      </w:pPr>
      <w:bookmarkStart w:id="159" w:name="_Toc151414741"/>
      <w:bookmarkStart w:id="160" w:name="_Toc123142259"/>
      <w:bookmarkStart w:id="161" w:name="_Toc102744344"/>
      <w:bookmarkStart w:id="162" w:name="_Toc179963368"/>
      <w:bookmarkStart w:id="163" w:name="_Toc180252840"/>
      <w:bookmarkStart w:id="164" w:name="_Toc123142404"/>
      <w:r>
        <w:rPr>
          <w:rFonts w:hint="eastAsia"/>
        </w:rPr>
        <w:t>维护检验</w:t>
      </w:r>
      <w:bookmarkEnd w:id="159"/>
      <w:bookmarkEnd w:id="160"/>
      <w:bookmarkEnd w:id="161"/>
      <w:bookmarkEnd w:id="162"/>
      <w:bookmarkEnd w:id="163"/>
      <w:bookmarkEnd w:id="164"/>
    </w:p>
    <w:p w:rsidR="00B53BB1" w:rsidRDefault="00000000">
      <w:pPr>
        <w:pStyle w:val="aff6"/>
        <w:ind w:firstLine="420"/>
        <w:rPr>
          <w:rFonts w:ascii="Times New Roman"/>
        </w:rPr>
      </w:pPr>
      <w:r>
        <w:rPr>
          <w:rFonts w:ascii="Times New Roman"/>
        </w:rPr>
        <w:t>按照表</w:t>
      </w:r>
      <w:r>
        <w:rPr>
          <w:rFonts w:ascii="Times New Roman" w:hint="eastAsia"/>
        </w:rPr>
        <w:t>3</w:t>
      </w:r>
      <w:r>
        <w:rPr>
          <w:rFonts w:ascii="Times New Roman"/>
        </w:rPr>
        <w:t>进行维护检验，至少每年一次。当</w:t>
      </w:r>
      <w:r>
        <w:rPr>
          <w:rFonts w:hint="eastAsia"/>
        </w:rPr>
        <w:t>发生器</w:t>
      </w:r>
      <w:r>
        <w:rPr>
          <w:rFonts w:ascii="Times New Roman"/>
        </w:rPr>
        <w:t>更换部件或维修后，应进行维护检验。检验项目中出现一项不符合要求，判定该</w:t>
      </w:r>
      <w:r>
        <w:rPr>
          <w:rFonts w:ascii="Times New Roman" w:hint="eastAsia"/>
        </w:rPr>
        <w:t>发生</w:t>
      </w:r>
      <w:r>
        <w:rPr>
          <w:rFonts w:ascii="Times New Roman"/>
        </w:rPr>
        <w:t>器维护检验不合格。</w:t>
      </w:r>
    </w:p>
    <w:p w:rsidR="00B53BB1" w:rsidRDefault="00000000">
      <w:pPr>
        <w:pStyle w:val="aff5"/>
        <w:numPr>
          <w:ilvl w:val="1"/>
          <w:numId w:val="1"/>
        </w:numPr>
        <w:spacing w:before="312" w:after="312"/>
        <w:ind w:left="10" w:hangingChars="5" w:hanging="10"/>
      </w:pPr>
      <w:bookmarkStart w:id="165" w:name="_Toc179963369"/>
      <w:bookmarkStart w:id="166" w:name="_Toc165985005"/>
      <w:bookmarkStart w:id="167" w:name="_Toc180252841"/>
      <w:bookmarkStart w:id="168" w:name="_Toc166084698"/>
      <w:r>
        <w:rPr>
          <w:rFonts w:hint="eastAsia"/>
        </w:rPr>
        <w:t>标志和包装</w:t>
      </w:r>
      <w:bookmarkEnd w:id="165"/>
      <w:bookmarkEnd w:id="166"/>
      <w:bookmarkEnd w:id="167"/>
      <w:bookmarkEnd w:id="168"/>
    </w:p>
    <w:p w:rsidR="00B53BB1" w:rsidRDefault="00000000">
      <w:pPr>
        <w:pStyle w:val="aff4"/>
        <w:numPr>
          <w:ilvl w:val="2"/>
          <w:numId w:val="1"/>
        </w:numPr>
        <w:spacing w:before="156" w:after="156"/>
      </w:pPr>
      <w:bookmarkStart w:id="169" w:name="_Toc179963370"/>
      <w:bookmarkStart w:id="170" w:name="_Toc166084699"/>
      <w:bookmarkStart w:id="171" w:name="_Toc180252842"/>
      <w:r>
        <w:rPr>
          <w:rFonts w:hint="eastAsia"/>
        </w:rPr>
        <w:t>标志</w:t>
      </w:r>
      <w:bookmarkEnd w:id="169"/>
      <w:bookmarkEnd w:id="170"/>
      <w:bookmarkEnd w:id="171"/>
    </w:p>
    <w:p w:rsidR="00B53BB1" w:rsidRDefault="00000000">
      <w:pPr>
        <w:pStyle w:val="aff6"/>
        <w:ind w:leftChars="200" w:left="420" w:firstLineChars="0" w:firstLine="0"/>
        <w:rPr>
          <w:rFonts w:ascii="Times New Roman"/>
        </w:rPr>
      </w:pPr>
      <w:r>
        <w:rPr>
          <w:rFonts w:ascii="Times New Roman" w:hint="eastAsia"/>
        </w:rPr>
        <w:t>发生器标志应具有以下内容：</w:t>
      </w:r>
    </w:p>
    <w:p w:rsidR="00B53BB1" w:rsidRDefault="00000000">
      <w:pPr>
        <w:pStyle w:val="aff6"/>
        <w:numPr>
          <w:ilvl w:val="0"/>
          <w:numId w:val="11"/>
        </w:numPr>
        <w:ind w:leftChars="200" w:left="862" w:firstLineChars="0" w:hanging="442"/>
        <w:rPr>
          <w:rFonts w:ascii="Times New Roman"/>
        </w:rPr>
      </w:pPr>
      <w:r>
        <w:rPr>
          <w:rFonts w:ascii="Times New Roman" w:hint="eastAsia"/>
        </w:rPr>
        <w:t>仪器名称、型号规格</w:t>
      </w:r>
      <w:r>
        <w:rPr>
          <w:rFonts w:ascii="Times New Roman" w:hint="eastAsia"/>
        </w:rPr>
        <w:t>;</w:t>
      </w:r>
    </w:p>
    <w:p w:rsidR="00B53BB1" w:rsidRDefault="00000000">
      <w:pPr>
        <w:pStyle w:val="aff6"/>
        <w:numPr>
          <w:ilvl w:val="0"/>
          <w:numId w:val="11"/>
        </w:numPr>
        <w:ind w:leftChars="200" w:left="862" w:firstLineChars="0" w:hanging="442"/>
        <w:rPr>
          <w:rFonts w:ascii="Times New Roman"/>
        </w:rPr>
      </w:pPr>
      <w:r>
        <w:rPr>
          <w:rFonts w:ascii="Times New Roman" w:hint="eastAsia"/>
        </w:rPr>
        <w:t>额定工作电压、频率；</w:t>
      </w:r>
    </w:p>
    <w:p w:rsidR="00B53BB1" w:rsidRDefault="00000000">
      <w:pPr>
        <w:pStyle w:val="aff6"/>
        <w:numPr>
          <w:ilvl w:val="0"/>
          <w:numId w:val="11"/>
        </w:numPr>
        <w:ind w:leftChars="200" w:left="862" w:firstLineChars="0" w:hanging="442"/>
        <w:rPr>
          <w:rFonts w:ascii="Times New Roman"/>
        </w:rPr>
      </w:pPr>
      <w:r>
        <w:rPr>
          <w:rFonts w:ascii="Times New Roman" w:hint="eastAsia"/>
        </w:rPr>
        <w:t>制造厂名称、地址；</w:t>
      </w:r>
    </w:p>
    <w:p w:rsidR="00B53BB1" w:rsidRDefault="00000000">
      <w:pPr>
        <w:pStyle w:val="aff6"/>
        <w:numPr>
          <w:ilvl w:val="0"/>
          <w:numId w:val="11"/>
        </w:numPr>
        <w:ind w:leftChars="200" w:left="862" w:firstLineChars="0" w:hanging="442"/>
        <w:rPr>
          <w:rFonts w:ascii="Times New Roman"/>
        </w:rPr>
      </w:pPr>
      <w:r>
        <w:rPr>
          <w:rFonts w:ascii="Times New Roman" w:hint="eastAsia"/>
        </w:rPr>
        <w:lastRenderedPageBreak/>
        <w:t>商标；</w:t>
      </w:r>
    </w:p>
    <w:p w:rsidR="00B53BB1" w:rsidRDefault="00000000">
      <w:pPr>
        <w:pStyle w:val="aff6"/>
        <w:numPr>
          <w:ilvl w:val="0"/>
          <w:numId w:val="11"/>
        </w:numPr>
        <w:ind w:leftChars="200" w:left="862" w:firstLineChars="0" w:hanging="442"/>
        <w:rPr>
          <w:rFonts w:ascii="Times New Roman"/>
        </w:rPr>
      </w:pPr>
      <w:r>
        <w:rPr>
          <w:rFonts w:ascii="Times New Roman" w:hint="eastAsia"/>
        </w:rPr>
        <w:t>制造日期、出厂编号及产品尺寸；</w:t>
      </w:r>
    </w:p>
    <w:p w:rsidR="00B53BB1" w:rsidRDefault="00000000">
      <w:pPr>
        <w:pStyle w:val="aff6"/>
        <w:numPr>
          <w:ilvl w:val="0"/>
          <w:numId w:val="11"/>
        </w:numPr>
        <w:ind w:leftChars="200" w:left="862" w:firstLineChars="0" w:hanging="442"/>
        <w:rPr>
          <w:rFonts w:ascii="Times New Roman"/>
        </w:rPr>
      </w:pPr>
      <w:r>
        <w:rPr>
          <w:rFonts w:ascii="Times New Roman" w:hint="eastAsia"/>
        </w:rPr>
        <w:t>警示标识；</w:t>
      </w:r>
    </w:p>
    <w:p w:rsidR="00B53BB1" w:rsidRDefault="00000000">
      <w:pPr>
        <w:pStyle w:val="aff6"/>
        <w:numPr>
          <w:ilvl w:val="0"/>
          <w:numId w:val="11"/>
        </w:numPr>
        <w:ind w:leftChars="200" w:left="862" w:firstLineChars="0" w:hanging="442"/>
        <w:rPr>
          <w:rFonts w:ascii="Times New Roman"/>
        </w:rPr>
      </w:pPr>
      <w:r>
        <w:rPr>
          <w:rFonts w:ascii="Times New Roman" w:hint="eastAsia"/>
        </w:rPr>
        <w:t>其他必要的标志。</w:t>
      </w:r>
    </w:p>
    <w:p w:rsidR="00B53BB1" w:rsidRDefault="00000000">
      <w:pPr>
        <w:pStyle w:val="aff4"/>
        <w:numPr>
          <w:ilvl w:val="2"/>
          <w:numId w:val="1"/>
        </w:numPr>
        <w:spacing w:before="156" w:after="156"/>
      </w:pPr>
      <w:bookmarkStart w:id="172" w:name="_Toc166084700"/>
      <w:bookmarkStart w:id="173" w:name="_Toc179963371"/>
      <w:bookmarkStart w:id="174" w:name="_Toc180252845"/>
      <w:bookmarkStart w:id="175" w:name="_Toc180252844"/>
      <w:bookmarkStart w:id="176" w:name="_Toc31352"/>
      <w:r>
        <w:rPr>
          <w:rFonts w:hint="eastAsia"/>
        </w:rPr>
        <w:t>包装</w:t>
      </w:r>
      <w:bookmarkEnd w:id="172"/>
      <w:bookmarkEnd w:id="173"/>
      <w:bookmarkEnd w:id="174"/>
    </w:p>
    <w:bookmarkEnd w:id="175"/>
    <w:bookmarkEnd w:id="176"/>
    <w:p w:rsidR="00B53BB1" w:rsidRDefault="00000000">
      <w:pPr>
        <w:pStyle w:val="aff4"/>
        <w:numPr>
          <w:ilvl w:val="3"/>
          <w:numId w:val="1"/>
        </w:numPr>
        <w:spacing w:beforeLines="0" w:before="0" w:afterLines="0" w:after="0"/>
        <w:rPr>
          <w:rFonts w:ascii="宋体" w:eastAsia="宋体" w:hAnsi="宋体" w:cs="宋体" w:hint="eastAsia"/>
        </w:rPr>
      </w:pPr>
      <w:r>
        <w:rPr>
          <w:rFonts w:ascii="宋体" w:eastAsia="宋体" w:hAnsi="宋体" w:cs="宋体" w:hint="eastAsia"/>
        </w:rPr>
        <w:t>发生器包装应具有以下内容：</w:t>
      </w:r>
    </w:p>
    <w:p w:rsidR="00B53BB1" w:rsidRDefault="00000000">
      <w:pPr>
        <w:pStyle w:val="aff6"/>
        <w:numPr>
          <w:ilvl w:val="0"/>
          <w:numId w:val="12"/>
        </w:numPr>
        <w:ind w:leftChars="200" w:left="862" w:firstLineChars="0" w:hanging="442"/>
        <w:rPr>
          <w:rFonts w:ascii="Times New Roman"/>
        </w:rPr>
      </w:pPr>
      <w:r>
        <w:rPr>
          <w:rFonts w:ascii="Times New Roman" w:hint="eastAsia"/>
        </w:rPr>
        <w:t>仪器名称及型号；</w:t>
      </w:r>
    </w:p>
    <w:p w:rsidR="00B53BB1" w:rsidRDefault="00000000">
      <w:pPr>
        <w:pStyle w:val="aff6"/>
        <w:numPr>
          <w:ilvl w:val="0"/>
          <w:numId w:val="12"/>
        </w:numPr>
        <w:ind w:leftChars="200" w:left="862" w:firstLineChars="0" w:hanging="442"/>
        <w:rPr>
          <w:rFonts w:ascii="Times New Roman"/>
        </w:rPr>
      </w:pPr>
      <w:r>
        <w:rPr>
          <w:rFonts w:ascii="Times New Roman" w:hint="eastAsia"/>
        </w:rPr>
        <w:t>制造厂名称及地址；</w:t>
      </w:r>
    </w:p>
    <w:p w:rsidR="00B53BB1" w:rsidRDefault="00000000">
      <w:pPr>
        <w:pStyle w:val="aff6"/>
        <w:numPr>
          <w:ilvl w:val="0"/>
          <w:numId w:val="12"/>
        </w:numPr>
        <w:ind w:leftChars="200" w:left="862" w:firstLineChars="0" w:hanging="442"/>
        <w:rPr>
          <w:rFonts w:hAnsi="宋体" w:cs="宋体" w:hint="eastAsia"/>
        </w:rPr>
      </w:pPr>
      <w:r>
        <w:rPr>
          <w:rFonts w:hAnsi="宋体" w:cs="宋体" w:hint="eastAsia"/>
        </w:rPr>
        <w:t>商标；</w:t>
      </w:r>
    </w:p>
    <w:p w:rsidR="00B53BB1" w:rsidRDefault="00000000">
      <w:pPr>
        <w:pStyle w:val="aff6"/>
        <w:numPr>
          <w:ilvl w:val="0"/>
          <w:numId w:val="12"/>
        </w:numPr>
        <w:ind w:leftChars="200" w:left="862" w:firstLineChars="0" w:hanging="442"/>
        <w:rPr>
          <w:rFonts w:hAnsi="宋体" w:cs="宋体" w:hint="eastAsia"/>
        </w:rPr>
      </w:pPr>
      <w:r>
        <w:rPr>
          <w:rFonts w:hAnsi="宋体" w:cs="宋体" w:hint="eastAsia"/>
        </w:rPr>
        <w:t>仪器净重和毛重，</w:t>
      </w:r>
      <w:bookmarkStart w:id="177" w:name="_Hlk179553337"/>
      <w:r>
        <w:rPr>
          <w:rFonts w:hAnsi="宋体" w:cs="宋体" w:hint="eastAsia"/>
        </w:rPr>
        <w:t>单位为</w:t>
      </w:r>
      <w:bookmarkEnd w:id="177"/>
      <w:r>
        <w:rPr>
          <w:rFonts w:hAnsi="宋体" w:cs="宋体" w:hint="eastAsia"/>
        </w:rPr>
        <w:t>（kg）；</w:t>
      </w:r>
    </w:p>
    <w:p w:rsidR="00B53BB1" w:rsidRDefault="00000000">
      <w:pPr>
        <w:pStyle w:val="aff6"/>
        <w:numPr>
          <w:ilvl w:val="0"/>
          <w:numId w:val="12"/>
        </w:numPr>
        <w:ind w:leftChars="200" w:left="862" w:firstLineChars="0" w:hanging="442"/>
        <w:rPr>
          <w:rFonts w:hAnsi="宋体" w:cs="宋体" w:hint="eastAsia"/>
        </w:rPr>
      </w:pPr>
      <w:r>
        <w:rPr>
          <w:rFonts w:hAnsi="宋体" w:cs="宋体" w:hint="eastAsia"/>
        </w:rPr>
        <w:t>外形尺寸为：长×宽×高，单位为（mm）；</w:t>
      </w:r>
    </w:p>
    <w:p w:rsidR="00B53BB1" w:rsidRDefault="00000000">
      <w:pPr>
        <w:pStyle w:val="aff6"/>
        <w:numPr>
          <w:ilvl w:val="0"/>
          <w:numId w:val="12"/>
        </w:numPr>
        <w:ind w:leftChars="200" w:left="862" w:firstLineChars="0" w:hanging="442"/>
        <w:rPr>
          <w:rFonts w:hAnsi="宋体" w:cs="宋体" w:hint="eastAsia"/>
        </w:rPr>
      </w:pPr>
      <w:r>
        <w:rPr>
          <w:rFonts w:hAnsi="宋体" w:cs="宋体" w:hint="eastAsia"/>
        </w:rPr>
        <w:t>包装储运图示标志：“易碎物品”“向上”“怕雨”等应符合 GB/T 191的规定；</w:t>
      </w:r>
    </w:p>
    <w:p w:rsidR="00B53BB1" w:rsidRDefault="00000000">
      <w:pPr>
        <w:pStyle w:val="aff6"/>
        <w:numPr>
          <w:ilvl w:val="0"/>
          <w:numId w:val="12"/>
        </w:numPr>
        <w:ind w:leftChars="200" w:left="862" w:firstLineChars="0" w:hanging="442"/>
        <w:rPr>
          <w:rFonts w:ascii="Times New Roman"/>
        </w:rPr>
      </w:pPr>
      <w:r>
        <w:rPr>
          <w:rFonts w:hint="eastAsia"/>
        </w:rPr>
        <w:t>出厂编号、包装箱序号、数量及出厂日期。</w:t>
      </w:r>
    </w:p>
    <w:p w:rsidR="00B53BB1" w:rsidRDefault="00000000">
      <w:pPr>
        <w:pStyle w:val="aff4"/>
        <w:numPr>
          <w:ilvl w:val="3"/>
          <w:numId w:val="1"/>
        </w:numPr>
        <w:spacing w:beforeLines="0" w:before="0" w:afterLines="0" w:after="0"/>
        <w:rPr>
          <w:rFonts w:ascii="宋体" w:eastAsia="宋体" w:hAnsi="宋体" w:cs="宋体" w:hint="eastAsia"/>
        </w:rPr>
      </w:pPr>
      <w:bookmarkStart w:id="178" w:name="_Toc180252846"/>
      <w:bookmarkStart w:id="179" w:name="_Toc25596"/>
      <w:r>
        <w:rPr>
          <w:rFonts w:ascii="宋体" w:eastAsia="宋体" w:hAnsi="宋体" w:cs="宋体" w:hint="eastAsia"/>
        </w:rPr>
        <w:t>发生器包装</w:t>
      </w:r>
      <w:bookmarkEnd w:id="178"/>
      <w:bookmarkEnd w:id="179"/>
      <w:r>
        <w:rPr>
          <w:rFonts w:ascii="宋体" w:eastAsia="宋体" w:hAnsi="宋体" w:cs="宋体" w:hint="eastAsia"/>
        </w:rPr>
        <w:t>应符合 GB/T 13384的规定。</w:t>
      </w:r>
    </w:p>
    <w:p w:rsidR="00B53BB1" w:rsidRDefault="00000000">
      <w:pPr>
        <w:pStyle w:val="aff4"/>
        <w:numPr>
          <w:ilvl w:val="3"/>
          <w:numId w:val="1"/>
        </w:numPr>
        <w:spacing w:beforeLines="0" w:before="0" w:afterLines="0" w:after="0"/>
        <w:rPr>
          <w:rFonts w:ascii="宋体" w:eastAsia="宋体" w:hAnsi="宋体" w:cs="宋体" w:hint="eastAsia"/>
        </w:rPr>
      </w:pPr>
      <w:bookmarkStart w:id="180" w:name="_Toc180252847"/>
      <w:bookmarkStart w:id="181" w:name="_Toc22036"/>
      <w:r>
        <w:rPr>
          <w:rFonts w:ascii="宋体" w:eastAsia="宋体" w:hAnsi="宋体" w:cs="宋体" w:hint="eastAsia"/>
        </w:rPr>
        <w:t>应具备以下随机文件</w:t>
      </w:r>
      <w:bookmarkEnd w:id="180"/>
      <w:bookmarkEnd w:id="181"/>
    </w:p>
    <w:p w:rsidR="00B53BB1" w:rsidRDefault="00000000">
      <w:pPr>
        <w:pStyle w:val="aff6"/>
        <w:numPr>
          <w:ilvl w:val="0"/>
          <w:numId w:val="13"/>
        </w:numPr>
        <w:ind w:leftChars="200" w:left="862" w:firstLineChars="0" w:hanging="442"/>
      </w:pPr>
      <w:r>
        <w:rPr>
          <w:rFonts w:hint="eastAsia"/>
        </w:rPr>
        <w:t>装箱单；</w:t>
      </w:r>
    </w:p>
    <w:p w:rsidR="00B53BB1" w:rsidRDefault="00000000">
      <w:pPr>
        <w:pStyle w:val="aff6"/>
        <w:numPr>
          <w:ilvl w:val="0"/>
          <w:numId w:val="13"/>
        </w:numPr>
        <w:ind w:leftChars="200" w:left="862" w:firstLineChars="0" w:hanging="442"/>
      </w:pPr>
      <w:r>
        <w:rPr>
          <w:rFonts w:hint="eastAsia"/>
        </w:rPr>
        <w:t>使用说明书；</w:t>
      </w:r>
    </w:p>
    <w:p w:rsidR="00B53BB1" w:rsidRDefault="00000000">
      <w:pPr>
        <w:pStyle w:val="aff6"/>
        <w:numPr>
          <w:ilvl w:val="0"/>
          <w:numId w:val="13"/>
        </w:numPr>
        <w:ind w:leftChars="200" w:left="862" w:firstLineChars="0" w:hanging="442"/>
      </w:pPr>
      <w:r>
        <w:rPr>
          <w:rFonts w:hint="eastAsia"/>
        </w:rPr>
        <w:t>合格证；</w:t>
      </w:r>
    </w:p>
    <w:p w:rsidR="00B53BB1" w:rsidRDefault="00000000">
      <w:pPr>
        <w:pStyle w:val="aff6"/>
        <w:numPr>
          <w:ilvl w:val="0"/>
          <w:numId w:val="13"/>
        </w:numPr>
        <w:ind w:leftChars="200" w:left="862" w:firstLineChars="0" w:hanging="442"/>
      </w:pPr>
      <w:r>
        <w:rPr>
          <w:rFonts w:hint="eastAsia"/>
        </w:rPr>
        <w:t>附备件清单。</w:t>
      </w:r>
    </w:p>
    <w:p w:rsidR="00B53BB1" w:rsidRDefault="00000000">
      <w:pPr>
        <w:pStyle w:val="aff5"/>
        <w:numPr>
          <w:ilvl w:val="1"/>
          <w:numId w:val="1"/>
        </w:numPr>
        <w:spacing w:before="312" w:after="312"/>
        <w:ind w:left="10" w:hangingChars="5" w:hanging="10"/>
      </w:pPr>
      <w:bookmarkStart w:id="182" w:name="_Toc179963372"/>
      <w:bookmarkStart w:id="183" w:name="_Toc166084701"/>
      <w:bookmarkStart w:id="184" w:name="_Toc165985006"/>
      <w:bookmarkStart w:id="185" w:name="_Toc180252848"/>
      <w:r>
        <w:rPr>
          <w:rFonts w:hint="eastAsia"/>
        </w:rPr>
        <w:t>运输和保存</w:t>
      </w:r>
      <w:bookmarkEnd w:id="182"/>
      <w:bookmarkEnd w:id="183"/>
      <w:bookmarkEnd w:id="184"/>
      <w:bookmarkEnd w:id="185"/>
    </w:p>
    <w:p w:rsidR="00B53BB1" w:rsidRDefault="00000000">
      <w:pPr>
        <w:pStyle w:val="aff4"/>
        <w:numPr>
          <w:ilvl w:val="2"/>
          <w:numId w:val="1"/>
        </w:numPr>
        <w:spacing w:before="156" w:after="156"/>
      </w:pPr>
      <w:bookmarkStart w:id="186" w:name="_Toc166084702"/>
      <w:bookmarkStart w:id="187" w:name="_Toc180252849"/>
      <w:bookmarkStart w:id="188" w:name="_Toc179963373"/>
      <w:r>
        <w:rPr>
          <w:rFonts w:hint="eastAsia"/>
        </w:rPr>
        <w:t>运输</w:t>
      </w:r>
      <w:bookmarkEnd w:id="186"/>
      <w:bookmarkEnd w:id="187"/>
      <w:bookmarkEnd w:id="188"/>
    </w:p>
    <w:p w:rsidR="00B53BB1" w:rsidRDefault="00000000">
      <w:pPr>
        <w:pStyle w:val="aff6"/>
        <w:ind w:firstLine="420"/>
        <w:rPr>
          <w:rFonts w:ascii="Times New Roman"/>
        </w:rPr>
      </w:pPr>
      <w:r>
        <w:rPr>
          <w:rFonts w:ascii="Times New Roman" w:hint="eastAsia"/>
        </w:rPr>
        <w:t>发生器在运输过程中和贮存时应防止汽车运输受到冲击、震动、雨淋、暴晒及辐射。</w:t>
      </w:r>
    </w:p>
    <w:p w:rsidR="00B53BB1" w:rsidRDefault="00000000">
      <w:pPr>
        <w:pStyle w:val="aff4"/>
        <w:numPr>
          <w:ilvl w:val="2"/>
          <w:numId w:val="1"/>
        </w:numPr>
        <w:spacing w:before="156" w:after="156"/>
      </w:pPr>
      <w:bookmarkStart w:id="189" w:name="_Toc166084703"/>
      <w:r>
        <w:rPr>
          <w:rFonts w:hint="eastAsia"/>
        </w:rPr>
        <w:t xml:space="preserve"> </w:t>
      </w:r>
      <w:bookmarkStart w:id="190" w:name="_Toc180252850"/>
      <w:bookmarkStart w:id="191" w:name="_Toc179963374"/>
      <w:r>
        <w:rPr>
          <w:rFonts w:hint="eastAsia"/>
        </w:rPr>
        <w:t>保存</w:t>
      </w:r>
      <w:bookmarkEnd w:id="189"/>
      <w:bookmarkEnd w:id="190"/>
      <w:bookmarkEnd w:id="191"/>
    </w:p>
    <w:p w:rsidR="00B53BB1" w:rsidRDefault="00000000">
      <w:pPr>
        <w:pStyle w:val="aff6"/>
        <w:ind w:leftChars="200" w:left="420" w:firstLineChars="0" w:firstLine="0"/>
        <w:rPr>
          <w:rFonts w:ascii="Times New Roman"/>
        </w:rPr>
      </w:pPr>
      <w:r>
        <w:rPr>
          <w:rFonts w:ascii="Times New Roman" w:hint="eastAsia"/>
        </w:rPr>
        <w:t>发生器保存应符合以下要求：</w:t>
      </w:r>
    </w:p>
    <w:p w:rsidR="00B53BB1" w:rsidRDefault="00000000">
      <w:pPr>
        <w:pStyle w:val="aff6"/>
        <w:numPr>
          <w:ilvl w:val="0"/>
          <w:numId w:val="14"/>
        </w:numPr>
        <w:ind w:leftChars="200" w:left="862" w:firstLineChars="0" w:hanging="442"/>
        <w:rPr>
          <w:rFonts w:hAnsi="宋体" w:cs="宋体" w:hint="eastAsia"/>
        </w:rPr>
      </w:pPr>
      <w:r>
        <w:rPr>
          <w:rFonts w:hAnsi="宋体" w:cs="宋体" w:hint="eastAsia"/>
        </w:rPr>
        <w:t>发生器应原箱存放保管，仓库环境温度为 0 ℃ ～40 ℃，相对湿度不大于 85 %；仓库内不应存放能引起发生器腐蚀和电气绝缘性降低的有害物质；</w:t>
      </w:r>
    </w:p>
    <w:p w:rsidR="00B53BB1" w:rsidRDefault="00000000">
      <w:pPr>
        <w:pStyle w:val="aff6"/>
        <w:numPr>
          <w:ilvl w:val="0"/>
          <w:numId w:val="14"/>
        </w:numPr>
        <w:ind w:left="-1" w:firstLineChars="0" w:firstLine="0"/>
        <w:jc w:val="center"/>
        <w:rPr>
          <w:rFonts w:ascii="黑体" w:eastAsia="黑体" w:hAnsi="黑体" w:cs="黑体" w:hint="eastAsia"/>
          <w:b/>
          <w:bCs/>
          <w:szCs w:val="21"/>
        </w:rPr>
      </w:pPr>
      <w:r>
        <w:rPr>
          <w:rFonts w:hAnsi="宋体" w:cs="宋体" w:hint="eastAsia"/>
        </w:rPr>
        <w:t>发生器贮存期限不应超过两年，超过期限后，应对发生器按产品标准要求进行抽检。</w:t>
      </w:r>
      <w:bookmarkStart w:id="192" w:name="_Toc179963375"/>
      <w:bookmarkStart w:id="193" w:name="_Toc180252851"/>
      <w:bookmarkStart w:id="194" w:name="_Toc20774"/>
      <w:bookmarkStart w:id="195" w:name="_Toc22765"/>
      <w:r>
        <w:rPr>
          <w:rFonts w:hAnsi="宋体" w:cs="宋体" w:hint="eastAsia"/>
        </w:rPr>
        <w:br w:type="page"/>
      </w:r>
      <w:r>
        <w:rPr>
          <w:rFonts w:ascii="黑体" w:eastAsia="黑体" w:hAnsi="黑体" w:cs="黑体" w:hint="eastAsia"/>
          <w:szCs w:val="21"/>
        </w:rPr>
        <w:lastRenderedPageBreak/>
        <w:t>附  录  A</w:t>
      </w:r>
      <w:bookmarkEnd w:id="192"/>
      <w:bookmarkEnd w:id="193"/>
    </w:p>
    <w:p w:rsidR="00B53BB1" w:rsidRDefault="00000000">
      <w:pPr>
        <w:jc w:val="center"/>
        <w:rPr>
          <w:rFonts w:ascii="黑体" w:eastAsia="黑体" w:hAnsi="黑体" w:hint="eastAsia"/>
        </w:rPr>
      </w:pPr>
      <w:r>
        <w:rPr>
          <w:rFonts w:ascii="黑体" w:eastAsia="黑体" w:hAnsi="黑体" w:hint="eastAsia"/>
        </w:rPr>
        <w:t>（规范性）</w:t>
      </w:r>
    </w:p>
    <w:p w:rsidR="00B53BB1" w:rsidRDefault="00000000">
      <w:pPr>
        <w:spacing w:after="567"/>
        <w:jc w:val="center"/>
        <w:rPr>
          <w:rFonts w:ascii="黑体" w:eastAsia="黑体" w:hAnsi="黑体" w:hint="eastAsia"/>
        </w:rPr>
      </w:pPr>
      <w:r>
        <w:rPr>
          <w:rFonts w:ascii="黑体" w:eastAsia="黑体" w:hAnsi="黑体"/>
        </w:rPr>
        <w:t>标准溶液配制方法</w:t>
      </w:r>
    </w:p>
    <w:p w:rsidR="00B53BB1" w:rsidRDefault="00000000">
      <w:pPr>
        <w:pStyle w:val="afff3"/>
        <w:numPr>
          <w:ilvl w:val="1"/>
          <w:numId w:val="15"/>
        </w:numPr>
        <w:autoSpaceDE/>
        <w:autoSpaceDN w:val="0"/>
        <w:spacing w:before="312" w:after="312" w:line="240" w:lineRule="auto"/>
        <w:outlineLvl w:val="9"/>
        <w:rPr>
          <w:rFonts w:hAnsi="等线" w:cs="黑体" w:hint="eastAsia"/>
          <w:color w:val="000000"/>
          <w:kern w:val="0"/>
          <w:szCs w:val="21"/>
        </w:rPr>
      </w:pPr>
      <w:r>
        <w:rPr>
          <w:rFonts w:hAnsi="等线" w:cs="黑体" w:hint="eastAsia"/>
          <w:color w:val="000000"/>
          <w:kern w:val="0"/>
          <w:szCs w:val="21"/>
        </w:rPr>
        <w:t xml:space="preserve">制备溶液所需设备 </w:t>
      </w:r>
    </w:p>
    <w:p w:rsidR="00B53BB1" w:rsidRDefault="00000000">
      <w:pPr>
        <w:pStyle w:val="afff3"/>
        <w:numPr>
          <w:ilvl w:val="2"/>
          <w:numId w:val="15"/>
        </w:numPr>
        <w:spacing w:beforeLines="0" w:before="0" w:afterLines="0" w:after="0" w:line="240" w:lineRule="auto"/>
        <w:outlineLvl w:val="9"/>
        <w:rPr>
          <w:rFonts w:ascii="宋体" w:eastAsia="宋体" w:hAnsi="宋体" w:cs="宋体" w:hint="eastAsia"/>
        </w:rPr>
      </w:pPr>
      <w:r>
        <w:rPr>
          <w:rFonts w:ascii="宋体" w:eastAsia="宋体" w:hAnsi="宋体" w:cs="宋体" w:hint="eastAsia"/>
        </w:rPr>
        <w:t>天平：分度值 0.0001 g。</w:t>
      </w:r>
    </w:p>
    <w:p w:rsidR="00B53BB1" w:rsidRDefault="00000000">
      <w:pPr>
        <w:pStyle w:val="afff3"/>
        <w:numPr>
          <w:ilvl w:val="2"/>
          <w:numId w:val="15"/>
        </w:numPr>
        <w:spacing w:beforeLines="0" w:before="0" w:afterLines="0" w:after="0" w:line="240" w:lineRule="auto"/>
        <w:outlineLvl w:val="9"/>
        <w:rPr>
          <w:rFonts w:ascii="宋体" w:eastAsia="宋体" w:hAnsi="宋体" w:cs="宋体" w:hint="eastAsia"/>
        </w:rPr>
      </w:pPr>
      <w:r>
        <w:rPr>
          <w:rFonts w:ascii="宋体" w:eastAsia="宋体" w:hAnsi="宋体" w:cs="宋体" w:hint="eastAsia"/>
        </w:rPr>
        <w:t>滤膜（0.2 µm，过滤效率&gt;99.9%）。</w:t>
      </w:r>
    </w:p>
    <w:p w:rsidR="00B53BB1" w:rsidRDefault="00000000">
      <w:pPr>
        <w:pStyle w:val="afff3"/>
        <w:numPr>
          <w:ilvl w:val="2"/>
          <w:numId w:val="15"/>
        </w:numPr>
        <w:spacing w:beforeLines="0" w:before="0" w:afterLines="0" w:after="0" w:line="240" w:lineRule="auto"/>
        <w:outlineLvl w:val="9"/>
        <w:rPr>
          <w:rFonts w:ascii="宋体" w:eastAsia="宋体" w:hAnsi="宋体" w:cs="宋体" w:hint="eastAsia"/>
        </w:rPr>
      </w:pPr>
      <w:r>
        <w:rPr>
          <w:rFonts w:ascii="宋体" w:eastAsia="宋体" w:hAnsi="宋体" w:cs="宋体" w:hint="eastAsia"/>
        </w:rPr>
        <w:t>A级玻璃量器：玻璃棒、1000 mL容量瓶、250 mL烧杯、500 mL烧杯、1000 mL试剂瓶。</w:t>
      </w:r>
    </w:p>
    <w:p w:rsidR="00B53BB1" w:rsidRDefault="00000000">
      <w:pPr>
        <w:pStyle w:val="afff3"/>
        <w:numPr>
          <w:ilvl w:val="1"/>
          <w:numId w:val="15"/>
        </w:numPr>
        <w:autoSpaceDE/>
        <w:autoSpaceDN w:val="0"/>
        <w:spacing w:before="312" w:after="312" w:line="240" w:lineRule="auto"/>
        <w:outlineLvl w:val="9"/>
        <w:rPr>
          <w:rFonts w:hAnsi="等线" w:cs="黑体" w:hint="eastAsia"/>
          <w:color w:val="000000"/>
          <w:kern w:val="0"/>
          <w:szCs w:val="21"/>
        </w:rPr>
      </w:pPr>
      <w:r>
        <w:rPr>
          <w:rFonts w:hAnsi="等线" w:cs="黑体" w:hint="eastAsia"/>
          <w:color w:val="000000"/>
          <w:kern w:val="0"/>
          <w:szCs w:val="21"/>
        </w:rPr>
        <w:t>NaCl溶液配置</w:t>
      </w:r>
    </w:p>
    <w:p w:rsidR="00B53BB1" w:rsidRDefault="00000000">
      <w:pPr>
        <w:ind w:firstLineChars="200" w:firstLine="420"/>
        <w:rPr>
          <w:rFonts w:ascii="宋体" w:eastAsia="宋体" w:hAnsi="宋体" w:cs="宋体" w:hint="eastAsia"/>
        </w:rPr>
        <w:sectPr w:rsidR="00B53BB1">
          <w:pgSz w:w="11906" w:h="16838"/>
          <w:pgMar w:top="1701" w:right="1134" w:bottom="1134" w:left="1417" w:header="1417" w:footer="1134" w:gutter="0"/>
          <w:pgNumType w:start="1"/>
          <w:cols w:space="425"/>
          <w:docGrid w:type="lines" w:linePitch="312"/>
        </w:sectPr>
      </w:pPr>
      <w:r>
        <w:rPr>
          <w:rFonts w:ascii="宋体" w:eastAsia="宋体" w:hAnsi="宋体" w:cs="宋体" w:hint="eastAsia"/>
        </w:rPr>
        <w:t>NaCl溶液（0.065 g/L）：称取0.065 g NaCl颗粒倒入250 mL烧杯中，搅拌溶解后，倒入1000 mL容量瓶中，定容至刻度线。采用滤膜（0.2 µm，过滤效率＞99.9%）过滤NaCl溶液，重复3次。将过滤后的NaCl溶液倒入1000 mL试剂瓶中，冷藏保存。</w:t>
      </w:r>
    </w:p>
    <w:p w:rsidR="00B53BB1" w:rsidRDefault="00000000">
      <w:pPr>
        <w:ind w:firstLineChars="200" w:firstLine="420"/>
        <w:rPr>
          <w:rFonts w:ascii="宋体" w:eastAsia="宋体" w:hAnsi="宋体" w:cs="宋体" w:hint="eastAsia"/>
        </w:rPr>
      </w:pPr>
      <w:r>
        <w:rPr>
          <w:rFonts w:ascii="宋体" w:eastAsia="宋体" w:hAnsi="宋体" w:cs="宋体" w:hint="eastAsia"/>
        </w:rPr>
        <w:br w:type="page"/>
      </w:r>
    </w:p>
    <w:p w:rsidR="00B53BB1" w:rsidRDefault="00000000">
      <w:pPr>
        <w:pStyle w:val="aff7"/>
        <w:spacing w:before="567" w:after="283"/>
        <w:rPr>
          <w:rFonts w:hint="eastAsia"/>
          <w:sz w:val="24"/>
          <w:szCs w:val="24"/>
        </w:rPr>
      </w:pPr>
      <w:bookmarkStart w:id="196" w:name="_Toc180252852"/>
      <w:r>
        <w:rPr>
          <w:rFonts w:hint="eastAsia"/>
          <w:sz w:val="24"/>
          <w:szCs w:val="24"/>
        </w:rPr>
        <w:lastRenderedPageBreak/>
        <w:t>参　考</w:t>
      </w:r>
      <w:bookmarkEnd w:id="194"/>
      <w:r>
        <w:rPr>
          <w:rFonts w:hint="eastAsia"/>
          <w:sz w:val="24"/>
          <w:szCs w:val="24"/>
        </w:rPr>
        <w:t xml:space="preserve">　文　献</w:t>
      </w:r>
      <w:bookmarkEnd w:id="195"/>
      <w:bookmarkEnd w:id="196"/>
    </w:p>
    <w:p w:rsidR="00B53BB1" w:rsidRDefault="00000000">
      <w:pPr>
        <w:numPr>
          <w:ilvl w:val="0"/>
          <w:numId w:val="16"/>
        </w:numPr>
        <w:ind w:firstLineChars="200" w:firstLine="420"/>
        <w:rPr>
          <w:rFonts w:ascii="宋体" w:eastAsia="宋体" w:hAnsi="宋体" w:hint="eastAsia"/>
          <w:szCs w:val="21"/>
        </w:rPr>
      </w:pPr>
      <w:r>
        <w:rPr>
          <w:rFonts w:ascii="宋体" w:hAnsi="宋体" w:hint="eastAsia"/>
        </w:rPr>
        <w:t xml:space="preserve"> </w:t>
      </w:r>
      <w:r>
        <w:rPr>
          <w:rFonts w:ascii="宋体" w:eastAsia="宋体" w:hAnsi="宋体"/>
          <w:szCs w:val="21"/>
        </w:rPr>
        <w:t>Fröhlich-Nowoisky, J., Kampf, C.J., Weber, B., Huffman, J.A., Pöhlker, C., Andreae, M.O., Lang-Yona, N.,</w:t>
      </w:r>
      <w:r>
        <w:rPr>
          <w:rFonts w:ascii="宋体" w:eastAsia="宋体" w:hAnsi="宋体" w:hint="eastAsia"/>
          <w:szCs w:val="21"/>
        </w:rPr>
        <w:t xml:space="preserve"> </w:t>
      </w:r>
      <w:r>
        <w:rPr>
          <w:rFonts w:ascii="宋体" w:eastAsia="宋体" w:hAnsi="宋体"/>
          <w:szCs w:val="21"/>
        </w:rPr>
        <w:t>Burrows, S.M., Gunthe, S.S., Elbert, W., Su, H., Hoor, P., Thines, E., Hoffmann, T., Després, V.R., Pöschl, U. Bioaerosols in the Earth system: Climate, health, and ecosystem interactions. Atmospheric Research. 2016, 182: 346-376</w:t>
      </w:r>
    </w:p>
    <w:p w:rsidR="00B53BB1" w:rsidRDefault="00000000">
      <w:pPr>
        <w:numPr>
          <w:ilvl w:val="0"/>
          <w:numId w:val="16"/>
        </w:numPr>
        <w:ind w:firstLineChars="200" w:firstLine="420"/>
        <w:rPr>
          <w:rFonts w:ascii="宋体" w:eastAsia="宋体" w:hAnsi="宋体" w:hint="eastAsia"/>
          <w:szCs w:val="21"/>
        </w:rPr>
      </w:pPr>
      <w:r>
        <w:rPr>
          <w:rFonts w:ascii="宋体" w:eastAsia="宋体" w:hAnsi="宋体" w:hint="eastAsia"/>
          <w:szCs w:val="21"/>
        </w:rPr>
        <w:t xml:space="preserve"> </w:t>
      </w:r>
      <w:r>
        <w:rPr>
          <w:rFonts w:ascii="宋体" w:eastAsia="宋体" w:hAnsi="宋体"/>
          <w:szCs w:val="21"/>
        </w:rPr>
        <w:t xml:space="preserve">Healy, D.A., O'Connor, D.J., Sodeau, J.R. Measurement of the particle counting efficiency of the “Waveband Integrated Bioaerosol Sensor” model number 4 </w:t>
      </w:r>
      <w:r>
        <w:rPr>
          <w:rFonts w:ascii="宋体" w:eastAsia="宋体" w:hAnsi="宋体" w:hint="eastAsia"/>
          <w:szCs w:val="21"/>
        </w:rPr>
        <w:t>（</w:t>
      </w:r>
      <w:r>
        <w:rPr>
          <w:rFonts w:ascii="宋体" w:eastAsia="宋体" w:hAnsi="宋体"/>
          <w:szCs w:val="21"/>
        </w:rPr>
        <w:t>WIBS-4</w:t>
      </w:r>
      <w:r>
        <w:rPr>
          <w:rFonts w:ascii="宋体" w:eastAsia="宋体" w:hAnsi="宋体" w:hint="eastAsia"/>
          <w:szCs w:val="21"/>
        </w:rPr>
        <w:t>）</w:t>
      </w:r>
      <w:r>
        <w:rPr>
          <w:rFonts w:ascii="宋体" w:eastAsia="宋体" w:hAnsi="宋体"/>
          <w:szCs w:val="21"/>
        </w:rPr>
        <w:t>. Journal of Aerosol Science. 2012, 47: 94-99</w:t>
      </w:r>
    </w:p>
    <w:p w:rsidR="00B53BB1" w:rsidRDefault="00000000">
      <w:pPr>
        <w:numPr>
          <w:ilvl w:val="0"/>
          <w:numId w:val="16"/>
        </w:numPr>
        <w:ind w:firstLineChars="200" w:firstLine="420"/>
        <w:rPr>
          <w:rFonts w:ascii="宋体" w:eastAsia="宋体" w:hAnsi="宋体" w:hint="eastAsia"/>
          <w:szCs w:val="21"/>
        </w:rPr>
      </w:pPr>
      <w:r>
        <w:rPr>
          <w:rFonts w:ascii="宋体" w:eastAsia="宋体" w:hAnsi="宋体" w:hint="eastAsia"/>
          <w:szCs w:val="21"/>
        </w:rPr>
        <w:t xml:space="preserve"> </w:t>
      </w:r>
      <w:r>
        <w:rPr>
          <w:rFonts w:ascii="宋体" w:eastAsia="宋体" w:hAnsi="宋体"/>
          <w:szCs w:val="21"/>
        </w:rPr>
        <w:t>Iida, K., Ikeda, T., Minakami, T., Sakurai, H. Verifying the viable particle counts of biofluorescent particle counters by using inkjet aerosol generators. Aerosol Science and Technology.2024, 58: 554-568</w:t>
      </w:r>
    </w:p>
    <w:p w:rsidR="00B53BB1" w:rsidRDefault="00000000">
      <w:pPr>
        <w:numPr>
          <w:ilvl w:val="0"/>
          <w:numId w:val="16"/>
        </w:numPr>
        <w:ind w:firstLineChars="200" w:firstLine="420"/>
        <w:rPr>
          <w:rFonts w:ascii="宋体" w:eastAsia="宋体" w:hAnsi="宋体" w:hint="eastAsia"/>
          <w:szCs w:val="21"/>
        </w:rPr>
      </w:pPr>
      <w:r>
        <w:rPr>
          <w:rFonts w:ascii="宋体" w:eastAsia="宋体" w:hAnsi="宋体" w:hint="eastAsia"/>
          <w:szCs w:val="21"/>
        </w:rPr>
        <w:t xml:space="preserve"> </w:t>
      </w:r>
      <w:r>
        <w:rPr>
          <w:rFonts w:ascii="宋体" w:eastAsia="宋体" w:hAnsi="宋体"/>
          <w:szCs w:val="21"/>
        </w:rPr>
        <w:t>Iida, K., Sakurai, H. Counting efficiency evaluation of optical particle counters in micrometer range by using an inkjet aerosol generator. Aerosol Science and Technology. 2018, 52: 1156-1166</w:t>
      </w:r>
    </w:p>
    <w:p w:rsidR="00B53BB1" w:rsidRDefault="00000000">
      <w:pPr>
        <w:numPr>
          <w:ilvl w:val="0"/>
          <w:numId w:val="16"/>
        </w:numPr>
        <w:ind w:firstLineChars="200" w:firstLine="420"/>
        <w:rPr>
          <w:rFonts w:ascii="宋体" w:eastAsia="宋体" w:hAnsi="宋体" w:hint="eastAsia"/>
          <w:szCs w:val="21"/>
        </w:rPr>
      </w:pPr>
      <w:r>
        <w:rPr>
          <w:rFonts w:ascii="宋体" w:eastAsia="宋体" w:hAnsi="宋体" w:hint="eastAsia"/>
          <w:szCs w:val="21"/>
        </w:rPr>
        <w:t xml:space="preserve"> </w:t>
      </w:r>
      <w:r>
        <w:rPr>
          <w:rFonts w:ascii="宋体" w:eastAsia="宋体" w:hAnsi="宋体"/>
          <w:szCs w:val="21"/>
        </w:rPr>
        <w:t>Iida, K., Sakurai, H., Auderset, K., Vasilatou, K. Using an inkjet aerosol generator to study particle bounce in optical particle counters. Aerosol Science and Technology. 2021, 55: 1165-1182</w:t>
      </w:r>
    </w:p>
    <w:p w:rsidR="00B53BB1" w:rsidRDefault="00000000">
      <w:pPr>
        <w:numPr>
          <w:ilvl w:val="0"/>
          <w:numId w:val="16"/>
        </w:numPr>
        <w:ind w:firstLineChars="200" w:firstLine="420"/>
        <w:rPr>
          <w:rFonts w:ascii="宋体" w:eastAsia="宋体" w:hAnsi="宋体" w:hint="eastAsia"/>
          <w:szCs w:val="21"/>
        </w:rPr>
      </w:pPr>
      <w:r>
        <w:rPr>
          <w:rFonts w:ascii="宋体" w:eastAsia="宋体" w:hAnsi="宋体" w:hint="eastAsia"/>
          <w:szCs w:val="21"/>
        </w:rPr>
        <w:t xml:space="preserve"> </w:t>
      </w:r>
      <w:r>
        <w:rPr>
          <w:rFonts w:ascii="宋体" w:eastAsia="宋体" w:hAnsi="宋体"/>
          <w:szCs w:val="21"/>
        </w:rPr>
        <w:t>Iida, K., Sakurai, H., Saito, K., Ehara, K. Inkjet Aerosol Generator as Monodisperse Particle Number Standard. Aerosol Science and Technology.2014,48: 789-802</w:t>
      </w:r>
    </w:p>
    <w:p w:rsidR="00B53BB1" w:rsidRDefault="00000000">
      <w:pPr>
        <w:numPr>
          <w:ilvl w:val="0"/>
          <w:numId w:val="16"/>
        </w:numPr>
        <w:ind w:firstLineChars="200" w:firstLine="420"/>
        <w:rPr>
          <w:rFonts w:ascii="宋体" w:eastAsia="宋体" w:hAnsi="宋体" w:hint="eastAsia"/>
          <w:szCs w:val="21"/>
        </w:rPr>
      </w:pPr>
      <w:r>
        <w:rPr>
          <w:rFonts w:ascii="宋体" w:eastAsia="宋体" w:hAnsi="宋体" w:hint="eastAsia"/>
          <w:szCs w:val="21"/>
        </w:rPr>
        <w:t xml:space="preserve"> </w:t>
      </w:r>
      <w:r>
        <w:rPr>
          <w:rFonts w:ascii="宋体" w:eastAsia="宋体" w:hAnsi="宋体"/>
          <w:szCs w:val="21"/>
        </w:rPr>
        <w:t>Kesavan, J.S., Bottiger, J.R., Schepers, D.R., Mcfarland, A.R. Comparison of Particle Number Counts Measured with an Ink Jet Aerosol Generator and an Aerodynamic Particle Sizer. Aerosol Science and Technology.2014, 48: 219-227</w:t>
      </w:r>
    </w:p>
    <w:p w:rsidR="00B53BB1" w:rsidRDefault="00000000">
      <w:pPr>
        <w:numPr>
          <w:ilvl w:val="0"/>
          <w:numId w:val="16"/>
        </w:numPr>
        <w:ind w:firstLineChars="200" w:firstLine="420"/>
        <w:rPr>
          <w:rFonts w:ascii="宋体" w:eastAsia="宋体" w:hAnsi="宋体" w:hint="eastAsia"/>
          <w:szCs w:val="21"/>
        </w:rPr>
      </w:pPr>
      <w:r>
        <w:rPr>
          <w:rFonts w:ascii="宋体" w:eastAsia="宋体" w:hAnsi="宋体" w:hint="eastAsia"/>
          <w:szCs w:val="21"/>
        </w:rPr>
        <w:t xml:space="preserve"> </w:t>
      </w:r>
      <w:r>
        <w:rPr>
          <w:rFonts w:ascii="宋体" w:eastAsia="宋体" w:hAnsi="宋体"/>
          <w:szCs w:val="21"/>
        </w:rPr>
        <w:t>Könemann, T., Savage, N.J., Huffman, J.A., Pöhlker, C. Characterization of steady-state fluorescence properties of polystyrene latex spheres using off- and online spectroscopic methods. Atmospheric Measurement Techniques. 2018, 11: 3987-4003</w:t>
      </w:r>
    </w:p>
    <w:p w:rsidR="00B53BB1" w:rsidRDefault="00000000">
      <w:pPr>
        <w:numPr>
          <w:ilvl w:val="0"/>
          <w:numId w:val="16"/>
        </w:numPr>
        <w:ind w:firstLineChars="200" w:firstLine="420"/>
        <w:rPr>
          <w:rFonts w:ascii="宋体" w:eastAsia="宋体" w:hAnsi="宋体" w:hint="eastAsia"/>
          <w:szCs w:val="21"/>
        </w:rPr>
      </w:pPr>
      <w:r>
        <w:rPr>
          <w:rFonts w:ascii="宋体" w:eastAsia="宋体" w:hAnsi="宋体" w:hint="eastAsia"/>
          <w:szCs w:val="21"/>
        </w:rPr>
        <w:t xml:space="preserve"> </w:t>
      </w:r>
      <w:r>
        <w:rPr>
          <w:rFonts w:ascii="宋体" w:eastAsia="宋体" w:hAnsi="宋体"/>
          <w:szCs w:val="21"/>
        </w:rPr>
        <w:t>Kwon, K.-S., Kim, W. A waveform design method for high-speed inkjet printing based on self-sensing measurement. Sensors and Actuators, 2007, A 140 75-83</w:t>
      </w:r>
    </w:p>
    <w:p w:rsidR="00B53BB1" w:rsidRDefault="00000000">
      <w:pPr>
        <w:numPr>
          <w:ilvl w:val="0"/>
          <w:numId w:val="16"/>
        </w:numPr>
        <w:ind w:firstLineChars="200" w:firstLine="420"/>
        <w:rPr>
          <w:rFonts w:ascii="宋体" w:eastAsia="宋体" w:hAnsi="宋体" w:hint="eastAsia"/>
          <w:szCs w:val="21"/>
        </w:rPr>
      </w:pPr>
      <w:r>
        <w:rPr>
          <w:rFonts w:ascii="宋体" w:eastAsia="宋体" w:hAnsi="宋体" w:hint="eastAsia"/>
          <w:szCs w:val="21"/>
        </w:rPr>
        <w:t xml:space="preserve"> </w:t>
      </w:r>
      <w:r>
        <w:rPr>
          <w:rFonts w:ascii="宋体" w:eastAsia="宋体" w:hAnsi="宋体"/>
          <w:szCs w:val="21"/>
        </w:rPr>
        <w:t>Pöhlker, C., Huffman, J.A., Pöschl, U. Autofluorescence of atmospheric bioaerosols – fluorescent biomolecules and potential interferences. Atmospheric Measurement Techniques. 2012, 5: 37-71</w:t>
      </w:r>
    </w:p>
    <w:p w:rsidR="00B53BB1" w:rsidRDefault="00000000">
      <w:pPr>
        <w:ind w:left="431"/>
        <w:jc w:val="left"/>
        <w:rPr>
          <w:rFonts w:ascii="Times New Roman" w:eastAsia="宋体" w:hAnsi="Times New Roman" w:cs="Times New Roman"/>
          <w:szCs w:val="21"/>
          <w:lang w:val="zh-CN"/>
        </w:rPr>
      </w:pPr>
      <w:r>
        <w:rPr>
          <w:noProof/>
        </w:rPr>
        <mc:AlternateContent>
          <mc:Choice Requires="wps">
            <w:drawing>
              <wp:anchor distT="0" distB="0" distL="114300" distR="114300" simplePos="0" relativeHeight="251664384" behindDoc="0" locked="0" layoutInCell="1" allowOverlap="1">
                <wp:simplePos x="0" y="0"/>
                <wp:positionH relativeFrom="column">
                  <wp:posOffset>1854835</wp:posOffset>
                </wp:positionH>
                <wp:positionV relativeFrom="paragraph">
                  <wp:posOffset>309245</wp:posOffset>
                </wp:positionV>
                <wp:extent cx="1987550" cy="8255"/>
                <wp:effectExtent l="0" t="6350" r="6350" b="10795"/>
                <wp:wrapNone/>
                <wp:docPr id="7" name="直接连接符 7"/>
                <wp:cNvGraphicFramePr/>
                <a:graphic xmlns:a="http://schemas.openxmlformats.org/drawingml/2006/main">
                  <a:graphicData uri="http://schemas.microsoft.com/office/word/2010/wordprocessingShape">
                    <wps:wsp>
                      <wps:cNvCnPr/>
                      <wps:spPr>
                        <a:xfrm flipV="1">
                          <a:off x="2065655" y="6099810"/>
                          <a:ext cx="1987550" cy="825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146.05pt;margin-top:24.35pt;height:0.65pt;width:156.5pt;z-index:251664384;mso-width-relative:page;mso-height-relative:page;" filled="f" stroked="t" coordsize="21600,21600" o:gfxdata="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8nanktcAAAAJAQAADwAAAAAAAAABACAAAAAiAAAAZHJzL2Rvd25yZXYueG1s&#10;UEsBAhQAFAAAAAgAh07iQI+1nJv5AQAAywMAAA4AAAAAAAAAAQAgAAAAJgEAAGRycy9lMm9Eb2Mu&#10;eG1sUEsFBgAAAAAGAAYAWQEAAJEFAAAAAA==&#10;">
                <v:fill on="f" focussize="0,0"/>
                <v:stroke weight="1pt" color="#000000 [3213]" miterlimit="8" joinstyle="miter"/>
                <v:imagedata o:title=""/>
                <o:lock v:ext="edit" aspectratio="f"/>
              </v:line>
            </w:pict>
          </mc:Fallback>
        </mc:AlternateContent>
      </w:r>
    </w:p>
    <w:sectPr w:rsidR="00B53BB1">
      <w:footerReference w:type="default" r:id="rId26"/>
      <w:type w:val="continuous"/>
      <w:pgSz w:w="11906" w:h="16838"/>
      <w:pgMar w:top="1701" w:right="1134" w:bottom="1134" w:left="1417" w:header="1417" w:footer="113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43491" w:rsidRDefault="00F43491">
      <w:r>
        <w:separator/>
      </w:r>
    </w:p>
  </w:endnote>
  <w:endnote w:type="continuationSeparator" w:id="0">
    <w:p w:rsidR="00F43491" w:rsidRDefault="00F43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53BB1" w:rsidRDefault="00000000">
    <w:pPr>
      <w:pStyle w:val="ae"/>
      <w:rPr>
        <w:rFonts w:hint="eastAsia"/>
      </w:rPr>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53BB1" w:rsidRDefault="00000000">
                          <w:pPr>
                            <w:pStyle w:val="ae"/>
                            <w:rPr>
                              <w:rFonts w:hint="eastAsia"/>
                            </w:rPr>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rsidR="00B53BB1" w:rsidRDefault="00000000">
                    <w:pPr>
                      <w:pStyle w:val="ae"/>
                      <w:rPr>
                        <w:rFonts w:hint="eastAsia"/>
                      </w:rPr>
                    </w:pPr>
                    <w:r>
                      <w:fldChar w:fldCharType="begin"/>
                    </w:r>
                    <w:r>
                      <w:instrText xml:space="preserve"> PAGE  \* MERGEFORMAT </w:instrText>
                    </w:r>
                    <w:r>
                      <w:fldChar w:fldCharType="separate"/>
                    </w:r>
                    <w:r>
                      <w:t>0</w:t>
                    </w:r>
                    <w: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53BB1" w:rsidRDefault="00000000">
    <w:pPr>
      <w:pStyle w:val="ae"/>
      <w:spacing w:before="0" w:after="0"/>
      <w:jc w:val="right"/>
      <w:rPr>
        <w:rFonts w:hint="eastAsia"/>
      </w:rPr>
    </w:pPr>
    <w:r>
      <w:rPr>
        <w:rFonts w:hint="eastAsia"/>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53BB1" w:rsidRDefault="00000000">
    <w:pPr>
      <w:pStyle w:val="ae"/>
      <w:rPr>
        <w:rFonts w:hint="eastAsia"/>
      </w:rPr>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53BB1" w:rsidRDefault="00000000">
                          <w:pPr>
                            <w:pStyle w:val="ae"/>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8"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rsidR="00B53BB1" w:rsidRDefault="00000000">
                    <w:pPr>
                      <w:pStyle w:val="ae"/>
                      <w:rPr>
                        <w:rFonts w:hint="eastAsia"/>
                      </w:rP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53BB1" w:rsidRDefault="00B53BB1">
    <w:pPr>
      <w:pStyle w:val="ae"/>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5001232"/>
    </w:sdtPr>
    <w:sdtContent>
      <w:p w:rsidR="00B53BB1" w:rsidRDefault="00000000">
        <w:pPr>
          <w:pStyle w:val="ae"/>
          <w:spacing w:before="0" w:after="0"/>
          <w:jc w:val="right"/>
          <w:rPr>
            <w:rFonts w:hint="eastAsia"/>
          </w:rPr>
        </w:pPr>
        <w:r>
          <w:fldChar w:fldCharType="begin"/>
        </w:r>
        <w:r>
          <w:instrText>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53BB1" w:rsidRDefault="00B53BB1">
    <w:pPr>
      <w:pStyle w:val="ae"/>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53BB1" w:rsidRDefault="00000000">
    <w:pPr>
      <w:pStyle w:val="ae"/>
      <w:spacing w:before="0" w:after="0"/>
      <w:rPr>
        <w:rFonts w:hint="eastAsia"/>
      </w:rPr>
    </w:pPr>
    <w:r>
      <w:rPr>
        <w:rFonts w:hint="eastAsia"/>
      </w:rPr>
      <w:t>Ⅱ</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0955992"/>
    </w:sdtPr>
    <w:sdtContent>
      <w:p w:rsidR="00B53BB1" w:rsidRDefault="00000000">
        <w:pPr>
          <w:pStyle w:val="ae"/>
          <w:spacing w:before="0" w:after="0"/>
          <w:rPr>
            <w:rFonts w:hint="eastAsia"/>
          </w:rPr>
        </w:pPr>
        <w:r>
          <w:fldChar w:fldCharType="begin"/>
        </w:r>
        <w:r>
          <w:instrText>PAGE   \* MERGEFORMAT</w:instrText>
        </w:r>
        <w:r>
          <w:fldChar w:fldCharType="separate"/>
        </w:r>
        <w:r>
          <w:rPr>
            <w:lang w:val="zh-CN"/>
          </w:rPr>
          <w:t>2</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8578150"/>
    </w:sdtPr>
    <w:sdtContent>
      <w:p w:rsidR="00B53BB1" w:rsidRDefault="00000000">
        <w:pPr>
          <w:pStyle w:val="ae"/>
          <w:spacing w:before="0" w:after="0"/>
          <w:rPr>
            <w:rFonts w:hint="eastAsia"/>
          </w:rPr>
        </w:pPr>
        <w:r>
          <w:fldChar w:fldCharType="begin"/>
        </w:r>
        <w:r>
          <w:instrText>PAGE   \* MERGEFORMAT</w:instrText>
        </w:r>
        <w:r>
          <w:fldChar w:fldCharType="separate"/>
        </w:r>
        <w:r>
          <w:rPr>
            <w:lang w:val="zh-CN"/>
          </w:rPr>
          <w:t>2</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6425538"/>
    </w:sdtPr>
    <w:sdtContent>
      <w:p w:rsidR="00B53BB1" w:rsidRDefault="00000000">
        <w:pPr>
          <w:pStyle w:val="ae"/>
          <w:spacing w:before="0" w:after="0"/>
          <w:jc w:val="right"/>
          <w:rPr>
            <w:rFonts w:hint="eastAsia"/>
          </w:rP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43491" w:rsidRDefault="00F43491">
      <w:r>
        <w:separator/>
      </w:r>
    </w:p>
  </w:footnote>
  <w:footnote w:type="continuationSeparator" w:id="0">
    <w:p w:rsidR="00F43491" w:rsidRDefault="00F43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53BB1" w:rsidRDefault="00B53BB1">
    <w:pPr>
      <w:pStyle w:val="af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53BB1" w:rsidRDefault="00000000">
    <w:pPr>
      <w:pStyle w:val="af0"/>
      <w:pBdr>
        <w:bottom w:val="none" w:sz="0" w:space="0" w:color="auto"/>
      </w:pBdr>
      <w:spacing w:before="120" w:after="120"/>
      <w:jc w:val="right"/>
      <w:rPr>
        <w:sz w:val="21"/>
        <w:szCs w:val="21"/>
      </w:rPr>
    </w:pPr>
    <w:r>
      <w:rPr>
        <w:rFonts w:ascii="黑体" w:eastAsia="黑体" w:hAnsi="黑体" w:hint="eastAsia"/>
        <w:b/>
        <w:color w:val="000000" w:themeColor="text1"/>
        <w:sz w:val="21"/>
        <w:szCs w:val="21"/>
      </w:rPr>
      <w:t>T/CIMA</w:t>
    </w:r>
    <w:r>
      <w:rPr>
        <w:rFonts w:ascii="黑体" w:eastAsia="黑体" w:hAnsi="黑体"/>
        <w:b/>
        <w:color w:val="000000" w:themeColor="text1"/>
        <w:sz w:val="21"/>
        <w:szCs w:val="21"/>
      </w:rPr>
      <w:t xml:space="preserve"> </w:t>
    </w:r>
    <w:r>
      <w:rPr>
        <w:rFonts w:ascii="黑体" w:eastAsia="黑体" w:hAnsi="黑体" w:hint="eastAsia"/>
        <w:b/>
        <w:color w:val="000000" w:themeColor="text1"/>
        <w:sz w:val="21"/>
        <w:szCs w:val="21"/>
      </w:rPr>
      <w:t>XX</w:t>
    </w:r>
    <w:r>
      <w:rPr>
        <w:rFonts w:ascii="黑体" w:eastAsia="黑体" w:hAnsi="黑体"/>
        <w:b/>
        <w:color w:val="000000" w:themeColor="text1"/>
        <w:sz w:val="21"/>
        <w:szCs w:val="21"/>
      </w:rPr>
      <w:t>X</w:t>
    </w:r>
    <w:r>
      <w:rPr>
        <w:rFonts w:ascii="黑体" w:eastAsia="黑体" w:hAnsi="黑体" w:hint="eastAsia"/>
        <w:b/>
        <w:color w:val="000000" w:themeColor="text1"/>
        <w:sz w:val="21"/>
        <w:szCs w:val="21"/>
      </w:rPr>
      <w:t>－</w:t>
    </w:r>
    <w:r>
      <w:rPr>
        <w:rFonts w:ascii="黑体" w:eastAsia="黑体" w:hAnsi="黑体"/>
        <w:b/>
        <w:color w:val="000000" w:themeColor="text1"/>
        <w:sz w:val="21"/>
        <w:szCs w:val="21"/>
      </w:rPr>
      <w:t>202</w:t>
    </w:r>
    <w:r>
      <w:rPr>
        <w:rFonts w:ascii="黑体" w:eastAsia="黑体" w:hAnsi="黑体" w:hint="eastAsia"/>
        <w:b/>
        <w:color w:val="000000" w:themeColor="text1"/>
        <w:sz w:val="21"/>
        <w:szCs w:val="21"/>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53BB1" w:rsidRDefault="00000000">
    <w:pPr>
      <w:pStyle w:val="af0"/>
      <w:pBdr>
        <w:bottom w:val="none" w:sz="0" w:space="0" w:color="auto"/>
      </w:pBdr>
      <w:spacing w:before="120" w:after="120"/>
      <w:jc w:val="left"/>
    </w:pPr>
    <w:r>
      <w:rPr>
        <w:rFonts w:ascii="黑体" w:eastAsia="黑体" w:hAnsi="黑体" w:hint="eastAsia"/>
        <w:b/>
        <w:color w:val="000000" w:themeColor="text1"/>
        <w:sz w:val="21"/>
        <w:szCs w:val="21"/>
      </w:rPr>
      <w:t>T/CIMA</w:t>
    </w:r>
    <w:r>
      <w:rPr>
        <w:rFonts w:ascii="黑体" w:eastAsia="黑体" w:hAnsi="黑体"/>
        <w:b/>
        <w:color w:val="000000" w:themeColor="text1"/>
        <w:sz w:val="21"/>
        <w:szCs w:val="21"/>
      </w:rPr>
      <w:t xml:space="preserve"> </w:t>
    </w:r>
    <w:r>
      <w:rPr>
        <w:rFonts w:ascii="黑体" w:eastAsia="黑体" w:hAnsi="黑体" w:hint="eastAsia"/>
        <w:b/>
        <w:color w:val="000000" w:themeColor="text1"/>
        <w:sz w:val="21"/>
        <w:szCs w:val="21"/>
      </w:rPr>
      <w:t>XX</w:t>
    </w:r>
    <w:r>
      <w:rPr>
        <w:rFonts w:ascii="黑体" w:eastAsia="黑体" w:hAnsi="黑体"/>
        <w:b/>
        <w:color w:val="000000" w:themeColor="text1"/>
        <w:sz w:val="21"/>
        <w:szCs w:val="21"/>
      </w:rPr>
      <w:t>X</w:t>
    </w:r>
    <w:r>
      <w:rPr>
        <w:rFonts w:ascii="黑体" w:eastAsia="黑体" w:hAnsi="黑体" w:hint="eastAsia"/>
        <w:b/>
        <w:color w:val="000000" w:themeColor="text1"/>
        <w:sz w:val="21"/>
        <w:szCs w:val="21"/>
      </w:rPr>
      <w:t>－</w:t>
    </w:r>
    <w:r>
      <w:rPr>
        <w:rFonts w:ascii="黑体" w:eastAsia="黑体" w:hAnsi="黑体"/>
        <w:b/>
        <w:color w:val="000000" w:themeColor="text1"/>
        <w:sz w:val="21"/>
        <w:szCs w:val="21"/>
      </w:rPr>
      <w:t>202</w:t>
    </w:r>
    <w:r>
      <w:rPr>
        <w:rFonts w:ascii="黑体" w:eastAsia="黑体" w:hAnsi="黑体" w:hint="eastAsia"/>
        <w:b/>
        <w:color w:val="000000" w:themeColor="text1"/>
        <w:sz w:val="21"/>
        <w:szCs w:val="21"/>
      </w:rPr>
      <w:t>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53BB1" w:rsidRDefault="00000000">
    <w:pPr>
      <w:pStyle w:val="af0"/>
      <w:pBdr>
        <w:bottom w:val="none" w:sz="0" w:space="0" w:color="auto"/>
      </w:pBdr>
      <w:spacing w:after="283"/>
      <w:jc w:val="right"/>
      <w:rPr>
        <w:rFonts w:eastAsia="黑体"/>
        <w:bCs/>
        <w:sz w:val="21"/>
        <w:szCs w:val="21"/>
      </w:rPr>
    </w:pPr>
    <w:r>
      <w:rPr>
        <w:rFonts w:ascii="黑体" w:eastAsia="黑体" w:hAnsi="黑体" w:hint="eastAsia"/>
        <w:bCs/>
        <w:color w:val="000000" w:themeColor="text1"/>
        <w:sz w:val="21"/>
        <w:szCs w:val="21"/>
      </w:rPr>
      <w:t>T/CIMA 0161.3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53BB1" w:rsidRDefault="00000000">
    <w:pPr>
      <w:pStyle w:val="af0"/>
      <w:pBdr>
        <w:bottom w:val="none" w:sz="0" w:space="0" w:color="auto"/>
      </w:pBdr>
      <w:spacing w:after="283"/>
      <w:ind w:right="839"/>
      <w:rPr>
        <w:rFonts w:eastAsia="黑体"/>
        <w:bCs/>
        <w:sz w:val="21"/>
        <w:szCs w:val="21"/>
      </w:rPr>
    </w:pPr>
    <w:r>
      <w:rPr>
        <w:rFonts w:ascii="黑体" w:eastAsia="黑体" w:hAnsi="黑体" w:hint="eastAsia"/>
        <w:bCs/>
        <w:color w:val="000000" w:themeColor="text1"/>
        <w:sz w:val="21"/>
        <w:szCs w:val="21"/>
      </w:rPr>
      <w:t>T/CIMA 0161.3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53BB1" w:rsidRDefault="00000000">
    <w:pPr>
      <w:pStyle w:val="af0"/>
      <w:spacing w:after="283"/>
    </w:pPr>
    <w:r>
      <w:rPr>
        <w:rFonts w:ascii="黑体" w:eastAsia="黑体" w:hAnsi="Times New Roman" w:cs="Times New Roman"/>
        <w:kern w:val="0"/>
        <w:sz w:val="21"/>
        <w:szCs w:val="21"/>
      </w:rPr>
      <w:t>T/CIMA 0161.3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53BB1" w:rsidRDefault="00000000">
    <w:pPr>
      <w:pStyle w:val="af0"/>
      <w:pBdr>
        <w:bottom w:val="none" w:sz="0" w:space="0" w:color="auto"/>
      </w:pBdr>
      <w:spacing w:after="283"/>
      <w:ind w:right="839"/>
      <w:rPr>
        <w:rFonts w:eastAsia="黑体"/>
        <w:bCs/>
        <w:sz w:val="21"/>
        <w:szCs w:val="21"/>
      </w:rPr>
    </w:pPr>
    <w:r>
      <w:rPr>
        <w:rFonts w:ascii="黑体" w:eastAsia="黑体" w:hAnsi="黑体" w:hint="eastAsia"/>
        <w:bCs/>
        <w:color w:val="000000" w:themeColor="text1"/>
        <w:sz w:val="21"/>
        <w:szCs w:val="21"/>
      </w:rPr>
      <w:t>T/CIMA 0161.3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53BB1" w:rsidRDefault="00000000">
    <w:pPr>
      <w:pStyle w:val="af0"/>
      <w:pBdr>
        <w:bottom w:val="none" w:sz="0" w:space="0" w:color="auto"/>
      </w:pBdr>
      <w:spacing w:after="283"/>
      <w:jc w:val="right"/>
      <w:rPr>
        <w:rFonts w:eastAsia="黑体"/>
        <w:bCs/>
        <w:sz w:val="21"/>
        <w:szCs w:val="21"/>
      </w:rPr>
    </w:pPr>
    <w:r>
      <w:rPr>
        <w:rFonts w:ascii="黑体" w:eastAsia="黑体" w:hAnsi="黑体" w:hint="eastAsia"/>
        <w:bCs/>
        <w:color w:val="000000" w:themeColor="text1"/>
        <w:sz w:val="21"/>
        <w:szCs w:val="21"/>
      </w:rPr>
      <w:t>T/CIMA 0161.3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565273C"/>
    <w:multiLevelType w:val="singleLevel"/>
    <w:tmpl w:val="8565273C"/>
    <w:lvl w:ilvl="0">
      <w:start w:val="1"/>
      <w:numFmt w:val="decimal"/>
      <w:suff w:val="space"/>
      <w:lvlText w:val="[%1]"/>
      <w:lvlJc w:val="left"/>
    </w:lvl>
  </w:abstractNum>
  <w:abstractNum w:abstractNumId="1" w15:restartNumberingAfterBreak="0">
    <w:nsid w:val="90869B05"/>
    <w:multiLevelType w:val="multilevel"/>
    <w:tmpl w:val="90869B05"/>
    <w:lvl w:ilvl="0">
      <w:start w:val="1"/>
      <w:numFmt w:val="lowerLetter"/>
      <w:lvlText w:val="%1)"/>
      <w:lvlJc w:val="left"/>
      <w:pPr>
        <w:ind w:left="440" w:hanging="440"/>
      </w:pPr>
      <w:rPr>
        <w:rFonts w:ascii="宋体" w:eastAsia="宋体" w:hAnsi="宋体" w:cs="宋体" w:hint="default"/>
        <w:sz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AADEC1F3"/>
    <w:multiLevelType w:val="multilevel"/>
    <w:tmpl w:val="AADEC1F3"/>
    <w:lvl w:ilvl="0">
      <w:start w:val="1"/>
      <w:numFmt w:val="upperLetter"/>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 w15:restartNumberingAfterBreak="0">
    <w:nsid w:val="B0845314"/>
    <w:multiLevelType w:val="multilevel"/>
    <w:tmpl w:val="B0845314"/>
    <w:lvl w:ilvl="0">
      <w:start w:val="1"/>
      <w:numFmt w:val="lowerLetter"/>
      <w:lvlText w:val="%1)"/>
      <w:lvlJc w:val="left"/>
      <w:pPr>
        <w:ind w:left="440" w:hanging="440"/>
      </w:pPr>
      <w:rPr>
        <w:rFonts w:ascii="宋体" w:eastAsia="宋体" w:hAnsi="宋体" w:cs="宋体" w:hint="default"/>
        <w:b w:val="0"/>
        <w:bCs w:val="0"/>
        <w:sz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DA75A126"/>
    <w:multiLevelType w:val="multilevel"/>
    <w:tmpl w:val="DA75A126"/>
    <w:lvl w:ilvl="0">
      <w:start w:val="1"/>
      <w:numFmt w:val="lowerLetter"/>
      <w:lvlText w:val="%1)"/>
      <w:lvlJc w:val="left"/>
      <w:pPr>
        <w:ind w:left="440" w:hanging="440"/>
      </w:pPr>
      <w:rPr>
        <w:rFonts w:ascii="宋体" w:eastAsia="宋体" w:hAnsi="宋体" w:cs="宋体" w:hint="default"/>
        <w:sz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2CF59F0C"/>
    <w:multiLevelType w:val="multilevel"/>
    <w:tmpl w:val="2CF59F0C"/>
    <w:lvl w:ilvl="0">
      <w:start w:val="1"/>
      <w:numFmt w:val="decimal"/>
      <w:pStyle w:val="a"/>
      <w:lvlText w:val="%1"/>
      <w:lvlJc w:val="left"/>
      <w:pPr>
        <w:tabs>
          <w:tab w:val="left" w:pos="0"/>
        </w:tabs>
        <w:ind w:left="0" w:firstLine="0"/>
      </w:pPr>
      <w:rPr>
        <w:rFonts w:eastAsia="黑体" w:hint="default"/>
        <w:sz w:val="21"/>
      </w:rPr>
    </w:lvl>
    <w:lvl w:ilvl="1">
      <w:start w:val="1"/>
      <w:numFmt w:val="decimal"/>
      <w:pStyle w:val="a0"/>
      <w:lvlText w:val="%1.%2"/>
      <w:lvlJc w:val="left"/>
      <w:pPr>
        <w:tabs>
          <w:tab w:val="left" w:pos="0"/>
        </w:tabs>
        <w:ind w:left="0" w:firstLine="0"/>
      </w:pPr>
      <w:rPr>
        <w:rFonts w:ascii="黑体" w:eastAsia="黑体" w:hAnsi="黑体" w:cs="黑体" w:hint="default"/>
        <w:sz w:val="21"/>
      </w:rPr>
    </w:lvl>
    <w:lvl w:ilvl="2">
      <w:start w:val="1"/>
      <w:numFmt w:val="decimal"/>
      <w:pStyle w:val="a1"/>
      <w:lvlText w:val="%1.%2.%3"/>
      <w:lvlJc w:val="left"/>
      <w:pPr>
        <w:tabs>
          <w:tab w:val="left" w:pos="850"/>
        </w:tabs>
        <w:ind w:left="850" w:hanging="850"/>
      </w:pPr>
      <w:rPr>
        <w:rFonts w:ascii="黑体" w:eastAsia="黑体" w:hAnsi="黑体" w:cs="黑体" w:hint="default"/>
        <w:sz w:val="21"/>
      </w:rPr>
    </w:lvl>
    <w:lvl w:ilvl="3">
      <w:start w:val="1"/>
      <w:numFmt w:val="decimal"/>
      <w:pStyle w:val="a2"/>
      <w:lvlText w:val="%1.%2.%3.%4"/>
      <w:lvlJc w:val="left"/>
      <w:pPr>
        <w:tabs>
          <w:tab w:val="left" w:pos="850"/>
        </w:tabs>
        <w:ind w:left="850" w:hanging="850"/>
      </w:pPr>
      <w:rPr>
        <w:rFonts w:ascii="黑体" w:eastAsia="黑体" w:hAnsi="黑体" w:cs="黑体" w:hint="default"/>
      </w:rPr>
    </w:lvl>
    <w:lvl w:ilvl="4">
      <w:start w:val="1"/>
      <w:numFmt w:val="lowerLetter"/>
      <w:lvlText w:val="%5)"/>
      <w:lvlJc w:val="left"/>
      <w:pPr>
        <w:tabs>
          <w:tab w:val="left" w:pos="0"/>
        </w:tabs>
        <w:ind w:left="0" w:firstLine="0"/>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6" w15:restartNumberingAfterBreak="0">
    <w:nsid w:val="3F44E90B"/>
    <w:multiLevelType w:val="multilevel"/>
    <w:tmpl w:val="3F44E90B"/>
    <w:lvl w:ilvl="0">
      <w:start w:val="1"/>
      <w:numFmt w:val="lowerLetter"/>
      <w:lvlText w:val="%1)"/>
      <w:lvlJc w:val="left"/>
      <w:pPr>
        <w:ind w:left="440" w:hanging="440"/>
      </w:pPr>
      <w:rPr>
        <w:rFonts w:ascii="宋体" w:eastAsia="宋体" w:hAnsi="宋体" w:cs="宋体" w:hint="default"/>
        <w:sz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15:restartNumberingAfterBreak="0">
    <w:nsid w:val="43846AD1"/>
    <w:multiLevelType w:val="multilevel"/>
    <w:tmpl w:val="43846AD1"/>
    <w:lvl w:ilvl="0">
      <w:start w:val="1"/>
      <w:numFmt w:val="lowerLetter"/>
      <w:lvlText w:val="%1)"/>
      <w:lvlJc w:val="left"/>
      <w:pPr>
        <w:ind w:left="440" w:hanging="440"/>
      </w:pPr>
      <w:rPr>
        <w:rFonts w:ascii="宋体" w:eastAsia="宋体" w:hAnsi="宋体" w:cs="宋体" w:hint="default"/>
        <w:sz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15:restartNumberingAfterBreak="0">
    <w:nsid w:val="48540768"/>
    <w:multiLevelType w:val="multilevel"/>
    <w:tmpl w:val="48540768"/>
    <w:lvl w:ilvl="0">
      <w:start w:val="1"/>
      <w:numFmt w:val="decimal"/>
      <w:lvlText w:val="图%1 "/>
      <w:lvlJc w:val="left"/>
      <w:pPr>
        <w:ind w:left="440" w:hanging="440"/>
      </w:pPr>
      <w:rPr>
        <w:rFonts w:ascii="Times New Roman" w:eastAsia="黑体" w:hAnsi="Times New Roman" w:hint="default"/>
        <w:sz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5C380995"/>
    <w:multiLevelType w:val="multilevel"/>
    <w:tmpl w:val="5C380995"/>
    <w:lvl w:ilvl="0">
      <w:start w:val="1"/>
      <w:numFmt w:val="lowerLetter"/>
      <w:lvlText w:val="%1)"/>
      <w:lvlJc w:val="left"/>
      <w:pPr>
        <w:ind w:left="1280" w:hanging="440"/>
      </w:pPr>
      <w:rPr>
        <w:rFonts w:ascii="宋体" w:eastAsia="宋体" w:hAnsi="宋体" w:cs="宋体" w:hint="default"/>
        <w:sz w:val="21"/>
      </w:rPr>
    </w:lvl>
    <w:lvl w:ilvl="1">
      <w:start w:val="1"/>
      <w:numFmt w:val="lowerLetter"/>
      <w:lvlText w:val="%2)"/>
      <w:lvlJc w:val="left"/>
      <w:pPr>
        <w:ind w:left="1720" w:hanging="440"/>
      </w:pPr>
    </w:lvl>
    <w:lvl w:ilvl="2">
      <w:start w:val="1"/>
      <w:numFmt w:val="lowerRoman"/>
      <w:lvlText w:val="%3."/>
      <w:lvlJc w:val="right"/>
      <w:pPr>
        <w:ind w:left="2160" w:hanging="440"/>
      </w:pPr>
    </w:lvl>
    <w:lvl w:ilvl="3">
      <w:start w:val="1"/>
      <w:numFmt w:val="decimal"/>
      <w:lvlText w:val="%4."/>
      <w:lvlJc w:val="left"/>
      <w:pPr>
        <w:ind w:left="2600" w:hanging="440"/>
      </w:pPr>
    </w:lvl>
    <w:lvl w:ilvl="4">
      <w:start w:val="1"/>
      <w:numFmt w:val="lowerLetter"/>
      <w:lvlText w:val="%5)"/>
      <w:lvlJc w:val="left"/>
      <w:pPr>
        <w:ind w:left="3040" w:hanging="440"/>
      </w:pPr>
    </w:lvl>
    <w:lvl w:ilvl="5">
      <w:start w:val="1"/>
      <w:numFmt w:val="lowerRoman"/>
      <w:lvlText w:val="%6."/>
      <w:lvlJc w:val="right"/>
      <w:pPr>
        <w:ind w:left="3480" w:hanging="440"/>
      </w:pPr>
    </w:lvl>
    <w:lvl w:ilvl="6">
      <w:start w:val="1"/>
      <w:numFmt w:val="decimal"/>
      <w:lvlText w:val="%7."/>
      <w:lvlJc w:val="left"/>
      <w:pPr>
        <w:ind w:left="3920" w:hanging="440"/>
      </w:pPr>
    </w:lvl>
    <w:lvl w:ilvl="7">
      <w:start w:val="1"/>
      <w:numFmt w:val="lowerLetter"/>
      <w:lvlText w:val="%8)"/>
      <w:lvlJc w:val="left"/>
      <w:pPr>
        <w:ind w:left="4360" w:hanging="440"/>
      </w:pPr>
    </w:lvl>
    <w:lvl w:ilvl="8">
      <w:start w:val="1"/>
      <w:numFmt w:val="lowerRoman"/>
      <w:lvlText w:val="%9."/>
      <w:lvlJc w:val="right"/>
      <w:pPr>
        <w:ind w:left="4800" w:hanging="440"/>
      </w:pPr>
    </w:lvl>
  </w:abstractNum>
  <w:abstractNum w:abstractNumId="10" w15:restartNumberingAfterBreak="0">
    <w:nsid w:val="5E0A6E6E"/>
    <w:multiLevelType w:val="multilevel"/>
    <w:tmpl w:val="5E0A6E6E"/>
    <w:lvl w:ilvl="0">
      <w:start w:val="1"/>
      <w:numFmt w:val="lowerLetter"/>
      <w:lvlText w:val="%1)"/>
      <w:lvlJc w:val="left"/>
      <w:pPr>
        <w:ind w:left="860" w:hanging="440"/>
      </w:pPr>
      <w:rPr>
        <w:rFonts w:ascii="宋体" w:eastAsia="宋体" w:hAnsi="宋体" w:cs="宋体" w:hint="default"/>
        <w:sz w:val="21"/>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11" w15:restartNumberingAfterBreak="0">
    <w:nsid w:val="657D3FBC"/>
    <w:multiLevelType w:val="multilevel"/>
    <w:tmpl w:val="657D3FBC"/>
    <w:lvl w:ilvl="0">
      <w:start w:val="1"/>
      <w:numFmt w:val="upperLetter"/>
      <w:suff w:val="nothing"/>
      <w:lvlText w:val="附录%1"/>
      <w:lvlJc w:val="center"/>
      <w:pPr>
        <w:ind w:left="0" w:firstLine="624"/>
      </w:pPr>
      <w:rPr>
        <w:rFonts w:ascii="黑体" w:eastAsia="黑体" w:hAnsi="Times New Roman" w:hint="eastAsia"/>
        <w:b w:val="0"/>
        <w:i w:val="0"/>
        <w:spacing w:val="100"/>
        <w:sz w:val="21"/>
      </w:rPr>
    </w:lvl>
    <w:lvl w:ilvl="1">
      <w:start w:val="1"/>
      <w:numFmt w:val="decimal"/>
      <w:pStyle w:val="a3"/>
      <w:suff w:val="space"/>
      <w:lvlText w:val="%1.%2"/>
      <w:lvlJc w:val="left"/>
      <w:pPr>
        <w:ind w:left="0" w:firstLine="0"/>
      </w:pPr>
      <w:rPr>
        <w:rFonts w:ascii="黑体" w:eastAsia="黑体" w:hAnsi="Times New Roman" w:hint="eastAsia"/>
        <w:b w:val="0"/>
        <w:i w:val="0"/>
        <w:snapToGrid/>
        <w:spacing w:val="0"/>
        <w:w w:val="100"/>
        <w:kern w:val="21"/>
        <w:sz w:val="21"/>
      </w:rPr>
    </w:lvl>
    <w:lvl w:ilvl="2">
      <w:start w:val="1"/>
      <w:numFmt w:val="decimal"/>
      <w:suff w:val="space"/>
      <w:lvlText w:val="%1.%2.%3"/>
      <w:lvlJc w:val="left"/>
      <w:pPr>
        <w:ind w:left="0" w:firstLine="0"/>
      </w:pPr>
      <w:rPr>
        <w:rFonts w:ascii="黑体" w:eastAsia="黑体" w:hAnsi="Times New Roman" w:hint="eastAsia"/>
        <w:b w:val="0"/>
        <w:i w:val="0"/>
        <w:sz w:val="21"/>
      </w:rPr>
    </w:lvl>
    <w:lvl w:ilvl="3">
      <w:start w:val="1"/>
      <w:numFmt w:val="decimal"/>
      <w:suff w:val="space"/>
      <w:lvlText w:val="%1.%2.%3.%4"/>
      <w:lvlJc w:val="left"/>
      <w:pPr>
        <w:ind w:left="0" w:firstLine="0"/>
      </w:pPr>
      <w:rPr>
        <w:rFonts w:ascii="黑体" w:eastAsia="黑体" w:hAnsi="Times New Roman" w:hint="eastAsia"/>
        <w:b w:val="0"/>
        <w:i w:val="0"/>
        <w:sz w:val="21"/>
      </w:rPr>
    </w:lvl>
    <w:lvl w:ilvl="4">
      <w:start w:val="1"/>
      <w:numFmt w:val="decimal"/>
      <w:suff w:val="space"/>
      <w:lvlText w:val="%1.%2.%3.%4.%5"/>
      <w:lvlJc w:val="left"/>
      <w:pPr>
        <w:ind w:left="0" w:firstLine="0"/>
      </w:pPr>
      <w:rPr>
        <w:rFonts w:ascii="黑体" w:eastAsia="黑体" w:hAnsi="Times New Roman" w:hint="eastAsia"/>
        <w:b w:val="0"/>
        <w:i w:val="0"/>
        <w:sz w:val="21"/>
      </w:rPr>
    </w:lvl>
    <w:lvl w:ilvl="5">
      <w:start w:val="1"/>
      <w:numFmt w:val="decimal"/>
      <w:suff w:val="space"/>
      <w:lvlText w:val="%1.%2.%3.%4.%5.%6"/>
      <w:lvlJc w:val="left"/>
      <w:pPr>
        <w:ind w:left="0" w:firstLine="0"/>
      </w:pPr>
      <w:rPr>
        <w:rFonts w:ascii="黑体" w:eastAsia="黑体" w:hAnsi="Times New Roman" w:hint="eastAsia"/>
        <w:b w:val="0"/>
        <w:i w:val="0"/>
        <w:sz w:val="21"/>
      </w:rPr>
    </w:lvl>
    <w:lvl w:ilvl="6">
      <w:start w:val="1"/>
      <w:numFmt w:val="decimal"/>
      <w:suff w:val="space"/>
      <w:lvlText w:val="%1.%2.%3.%4.%5.%6.%7"/>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488"/>
        </w:tabs>
        <w:ind w:left="4106" w:hanging="1418"/>
      </w:pPr>
      <w:rPr>
        <w:rFonts w:hint="eastAsia"/>
      </w:rPr>
    </w:lvl>
    <w:lvl w:ilvl="8">
      <w:start w:val="1"/>
      <w:numFmt w:val="decimal"/>
      <w:lvlText w:val="%1.%2.%3.%4.%5.%6.%7.%8.%9"/>
      <w:lvlJc w:val="left"/>
      <w:pPr>
        <w:tabs>
          <w:tab w:val="left" w:pos="4814"/>
        </w:tabs>
        <w:ind w:left="4814" w:hanging="1700"/>
      </w:pPr>
      <w:rPr>
        <w:rFonts w:hint="eastAsia"/>
      </w:rPr>
    </w:lvl>
  </w:abstractNum>
  <w:abstractNum w:abstractNumId="12" w15:restartNumberingAfterBreak="0">
    <w:nsid w:val="6C3D32B2"/>
    <w:multiLevelType w:val="multilevel"/>
    <w:tmpl w:val="6C3D32B2"/>
    <w:lvl w:ilvl="0">
      <w:start w:val="1"/>
      <w:numFmt w:val="lowerLetter"/>
      <w:lvlText w:val="%1)"/>
      <w:lvlJc w:val="left"/>
      <w:pPr>
        <w:ind w:left="440" w:hanging="440"/>
      </w:pPr>
      <w:rPr>
        <w:rFonts w:ascii="宋体" w:eastAsia="宋体" w:hAnsi="宋体" w:cs="宋体" w:hint="default"/>
        <w:sz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15:restartNumberingAfterBreak="0">
    <w:nsid w:val="6CEA2025"/>
    <w:multiLevelType w:val="multilevel"/>
    <w:tmpl w:val="6CEA2025"/>
    <w:lvl w:ilvl="0">
      <w:start w:val="1"/>
      <w:numFmt w:val="none"/>
      <w:suff w:val="nothing"/>
      <w:lvlText w:val="%1"/>
      <w:lvlJc w:val="left"/>
      <w:pPr>
        <w:ind w:left="0" w:firstLine="0"/>
      </w:pPr>
      <w:rPr>
        <w:rFonts w:hint="eastAsia"/>
      </w:rPr>
    </w:lvl>
    <w:lvl w:ilvl="1">
      <w:start w:val="1"/>
      <w:numFmt w:val="decimal"/>
      <w:pStyle w:val="a4"/>
      <w:suff w:val="nothing"/>
      <w:lvlText w:val="%1%2　"/>
      <w:lvlJc w:val="left"/>
      <w:pPr>
        <w:ind w:left="2694" w:firstLine="0"/>
      </w:pPr>
      <w:rPr>
        <w:rFonts w:ascii="黑体" w:eastAsia="黑体" w:hint="eastAsia"/>
        <w:b w:val="0"/>
        <w:i w:val="0"/>
        <w:sz w:val="21"/>
      </w:rPr>
    </w:lvl>
    <w:lvl w:ilvl="2">
      <w:start w:val="1"/>
      <w:numFmt w:val="decimal"/>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default"/>
        <w:b w:val="0"/>
        <w:i w:val="0"/>
        <w:color w:val="auto"/>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4" w15:restartNumberingAfterBreak="0">
    <w:nsid w:val="6E144F8B"/>
    <w:multiLevelType w:val="multilevel"/>
    <w:tmpl w:val="6E144F8B"/>
    <w:lvl w:ilvl="0">
      <w:start w:val="1"/>
      <w:numFmt w:val="lowerLetter"/>
      <w:lvlText w:val="%1)"/>
      <w:lvlJc w:val="left"/>
      <w:pPr>
        <w:ind w:left="440" w:hanging="440"/>
      </w:pPr>
      <w:rPr>
        <w:rFonts w:ascii="宋体" w:eastAsia="宋体" w:hAnsi="宋体" w:cs="宋体" w:hint="default"/>
        <w:sz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5" w15:restartNumberingAfterBreak="0">
    <w:nsid w:val="78FF2B37"/>
    <w:multiLevelType w:val="multilevel"/>
    <w:tmpl w:val="78FF2B37"/>
    <w:lvl w:ilvl="0">
      <w:start w:val="1"/>
      <w:numFmt w:val="lowerLetter"/>
      <w:lvlText w:val="%1)"/>
      <w:lvlJc w:val="left"/>
      <w:pPr>
        <w:ind w:left="1280" w:hanging="440"/>
      </w:pPr>
      <w:rPr>
        <w:rFonts w:ascii="宋体" w:eastAsia="宋体" w:hAnsi="宋体" w:cs="宋体" w:hint="default"/>
        <w:sz w:val="21"/>
      </w:rPr>
    </w:lvl>
    <w:lvl w:ilvl="1">
      <w:start w:val="1"/>
      <w:numFmt w:val="lowerLetter"/>
      <w:lvlText w:val="%2)"/>
      <w:lvlJc w:val="left"/>
      <w:pPr>
        <w:ind w:left="1720" w:hanging="440"/>
      </w:pPr>
    </w:lvl>
    <w:lvl w:ilvl="2">
      <w:start w:val="1"/>
      <w:numFmt w:val="lowerRoman"/>
      <w:lvlText w:val="%3."/>
      <w:lvlJc w:val="right"/>
      <w:pPr>
        <w:ind w:left="2160" w:hanging="440"/>
      </w:pPr>
    </w:lvl>
    <w:lvl w:ilvl="3">
      <w:start w:val="1"/>
      <w:numFmt w:val="decimal"/>
      <w:lvlText w:val="%4."/>
      <w:lvlJc w:val="left"/>
      <w:pPr>
        <w:ind w:left="2600" w:hanging="440"/>
      </w:pPr>
    </w:lvl>
    <w:lvl w:ilvl="4">
      <w:start w:val="1"/>
      <w:numFmt w:val="lowerLetter"/>
      <w:lvlText w:val="%5)"/>
      <w:lvlJc w:val="left"/>
      <w:pPr>
        <w:ind w:left="3040" w:hanging="440"/>
      </w:pPr>
    </w:lvl>
    <w:lvl w:ilvl="5">
      <w:start w:val="1"/>
      <w:numFmt w:val="lowerRoman"/>
      <w:lvlText w:val="%6."/>
      <w:lvlJc w:val="right"/>
      <w:pPr>
        <w:ind w:left="3480" w:hanging="440"/>
      </w:pPr>
    </w:lvl>
    <w:lvl w:ilvl="6">
      <w:start w:val="1"/>
      <w:numFmt w:val="decimal"/>
      <w:lvlText w:val="%7."/>
      <w:lvlJc w:val="left"/>
      <w:pPr>
        <w:ind w:left="3920" w:hanging="440"/>
      </w:pPr>
    </w:lvl>
    <w:lvl w:ilvl="7">
      <w:start w:val="1"/>
      <w:numFmt w:val="lowerLetter"/>
      <w:lvlText w:val="%8)"/>
      <w:lvlJc w:val="left"/>
      <w:pPr>
        <w:ind w:left="4360" w:hanging="440"/>
      </w:pPr>
    </w:lvl>
    <w:lvl w:ilvl="8">
      <w:start w:val="1"/>
      <w:numFmt w:val="lowerRoman"/>
      <w:lvlText w:val="%9."/>
      <w:lvlJc w:val="right"/>
      <w:pPr>
        <w:ind w:left="4800" w:hanging="440"/>
      </w:pPr>
    </w:lvl>
  </w:abstractNum>
  <w:num w:numId="1" w16cid:durableId="1899317639">
    <w:abstractNumId w:val="13"/>
  </w:num>
  <w:num w:numId="2" w16cid:durableId="1750074776">
    <w:abstractNumId w:val="11"/>
  </w:num>
  <w:num w:numId="3" w16cid:durableId="1975985406">
    <w:abstractNumId w:val="5"/>
  </w:num>
  <w:num w:numId="4" w16cid:durableId="1867671269">
    <w:abstractNumId w:val="8"/>
  </w:num>
  <w:num w:numId="5" w16cid:durableId="721714742">
    <w:abstractNumId w:val="15"/>
  </w:num>
  <w:num w:numId="6" w16cid:durableId="17240058">
    <w:abstractNumId w:val="12"/>
  </w:num>
  <w:num w:numId="7" w16cid:durableId="1164661709">
    <w:abstractNumId w:val="10"/>
  </w:num>
  <w:num w:numId="8" w16cid:durableId="1554653069">
    <w:abstractNumId w:val="9"/>
  </w:num>
  <w:num w:numId="9" w16cid:durableId="593823970">
    <w:abstractNumId w:val="1"/>
  </w:num>
  <w:num w:numId="10" w16cid:durableId="1124888997">
    <w:abstractNumId w:val="4"/>
  </w:num>
  <w:num w:numId="11" w16cid:durableId="1571579703">
    <w:abstractNumId w:val="7"/>
  </w:num>
  <w:num w:numId="12" w16cid:durableId="338313645">
    <w:abstractNumId w:val="6"/>
  </w:num>
  <w:num w:numId="13" w16cid:durableId="642396085">
    <w:abstractNumId w:val="14"/>
  </w:num>
  <w:num w:numId="14" w16cid:durableId="1263106705">
    <w:abstractNumId w:val="3"/>
  </w:num>
  <w:num w:numId="15" w16cid:durableId="1109351023">
    <w:abstractNumId w:val="2"/>
  </w:num>
  <w:num w:numId="16" w16cid:durableId="626161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E5MDEyZmZlOWE3OTIwZWIyZGY2ZWJlZTY4YWYzZTcifQ=="/>
  </w:docVars>
  <w:rsids>
    <w:rsidRoot w:val="00172A27"/>
    <w:rsid w:val="0001600A"/>
    <w:rsid w:val="00023389"/>
    <w:rsid w:val="000446BD"/>
    <w:rsid w:val="00050EC6"/>
    <w:rsid w:val="00077579"/>
    <w:rsid w:val="00077A1D"/>
    <w:rsid w:val="000B2949"/>
    <w:rsid w:val="000B6281"/>
    <w:rsid w:val="000D35FC"/>
    <w:rsid w:val="00100651"/>
    <w:rsid w:val="001054E2"/>
    <w:rsid w:val="00106D0C"/>
    <w:rsid w:val="00106EF0"/>
    <w:rsid w:val="00112853"/>
    <w:rsid w:val="001247A4"/>
    <w:rsid w:val="00133489"/>
    <w:rsid w:val="001410F3"/>
    <w:rsid w:val="001528FF"/>
    <w:rsid w:val="001549AA"/>
    <w:rsid w:val="001643C0"/>
    <w:rsid w:val="00166ADC"/>
    <w:rsid w:val="00172A27"/>
    <w:rsid w:val="001B4D8B"/>
    <w:rsid w:val="001B6401"/>
    <w:rsid w:val="001C29FF"/>
    <w:rsid w:val="001D7F5E"/>
    <w:rsid w:val="001E45F9"/>
    <w:rsid w:val="001E5CE9"/>
    <w:rsid w:val="001E64AD"/>
    <w:rsid w:val="001F0B9E"/>
    <w:rsid w:val="00214795"/>
    <w:rsid w:val="00231889"/>
    <w:rsid w:val="00240AFD"/>
    <w:rsid w:val="0024456D"/>
    <w:rsid w:val="00254847"/>
    <w:rsid w:val="002549F4"/>
    <w:rsid w:val="0027191B"/>
    <w:rsid w:val="00272B57"/>
    <w:rsid w:val="0029666D"/>
    <w:rsid w:val="002A3D34"/>
    <w:rsid w:val="002C07D1"/>
    <w:rsid w:val="002C0CB2"/>
    <w:rsid w:val="002C29EA"/>
    <w:rsid w:val="002C6A85"/>
    <w:rsid w:val="002D090B"/>
    <w:rsid w:val="002E5CCD"/>
    <w:rsid w:val="002F5CAB"/>
    <w:rsid w:val="002F6826"/>
    <w:rsid w:val="003332AB"/>
    <w:rsid w:val="00345252"/>
    <w:rsid w:val="00345F66"/>
    <w:rsid w:val="003735A8"/>
    <w:rsid w:val="00374C85"/>
    <w:rsid w:val="003848D1"/>
    <w:rsid w:val="00395075"/>
    <w:rsid w:val="003A4BD6"/>
    <w:rsid w:val="003C7E84"/>
    <w:rsid w:val="0040272B"/>
    <w:rsid w:val="00442351"/>
    <w:rsid w:val="00450C80"/>
    <w:rsid w:val="0049060C"/>
    <w:rsid w:val="0049210B"/>
    <w:rsid w:val="004956FC"/>
    <w:rsid w:val="00496B10"/>
    <w:rsid w:val="004D5652"/>
    <w:rsid w:val="004D5E44"/>
    <w:rsid w:val="004E3470"/>
    <w:rsid w:val="004F412D"/>
    <w:rsid w:val="00507187"/>
    <w:rsid w:val="0051303E"/>
    <w:rsid w:val="00533BAB"/>
    <w:rsid w:val="00545D51"/>
    <w:rsid w:val="0056798D"/>
    <w:rsid w:val="005730EF"/>
    <w:rsid w:val="00585BB1"/>
    <w:rsid w:val="0058619B"/>
    <w:rsid w:val="00590202"/>
    <w:rsid w:val="00594F4E"/>
    <w:rsid w:val="005B07B7"/>
    <w:rsid w:val="005E0FBC"/>
    <w:rsid w:val="00606734"/>
    <w:rsid w:val="0065013D"/>
    <w:rsid w:val="00664326"/>
    <w:rsid w:val="006805B6"/>
    <w:rsid w:val="00680631"/>
    <w:rsid w:val="00683162"/>
    <w:rsid w:val="00695FE0"/>
    <w:rsid w:val="006A528B"/>
    <w:rsid w:val="006A65D7"/>
    <w:rsid w:val="006B113A"/>
    <w:rsid w:val="006C7FDA"/>
    <w:rsid w:val="006E29DB"/>
    <w:rsid w:val="006F19A8"/>
    <w:rsid w:val="006F2411"/>
    <w:rsid w:val="006F2A5A"/>
    <w:rsid w:val="00705C23"/>
    <w:rsid w:val="00717581"/>
    <w:rsid w:val="00725C65"/>
    <w:rsid w:val="00743EC9"/>
    <w:rsid w:val="007662CB"/>
    <w:rsid w:val="00794D7E"/>
    <w:rsid w:val="007C0DE4"/>
    <w:rsid w:val="007F08C3"/>
    <w:rsid w:val="007F1F25"/>
    <w:rsid w:val="008129EF"/>
    <w:rsid w:val="00832D9F"/>
    <w:rsid w:val="00834142"/>
    <w:rsid w:val="00837F43"/>
    <w:rsid w:val="0085171F"/>
    <w:rsid w:val="008727CC"/>
    <w:rsid w:val="00896EAA"/>
    <w:rsid w:val="008B355B"/>
    <w:rsid w:val="008B53E0"/>
    <w:rsid w:val="008B7B1F"/>
    <w:rsid w:val="008D1180"/>
    <w:rsid w:val="008E084A"/>
    <w:rsid w:val="00933366"/>
    <w:rsid w:val="00940C42"/>
    <w:rsid w:val="00954075"/>
    <w:rsid w:val="00964438"/>
    <w:rsid w:val="00965AD5"/>
    <w:rsid w:val="00977CDE"/>
    <w:rsid w:val="009A0192"/>
    <w:rsid w:val="009A1DC2"/>
    <w:rsid w:val="009B7AC9"/>
    <w:rsid w:val="009C0289"/>
    <w:rsid w:val="009C1629"/>
    <w:rsid w:val="009D2C9B"/>
    <w:rsid w:val="009F2459"/>
    <w:rsid w:val="00A11B36"/>
    <w:rsid w:val="00A22D59"/>
    <w:rsid w:val="00A231D9"/>
    <w:rsid w:val="00A37371"/>
    <w:rsid w:val="00A64E29"/>
    <w:rsid w:val="00A760D7"/>
    <w:rsid w:val="00A872E6"/>
    <w:rsid w:val="00AE362F"/>
    <w:rsid w:val="00AE57A3"/>
    <w:rsid w:val="00AE61AE"/>
    <w:rsid w:val="00AE6842"/>
    <w:rsid w:val="00AE73FE"/>
    <w:rsid w:val="00AF7521"/>
    <w:rsid w:val="00B04A72"/>
    <w:rsid w:val="00B06F25"/>
    <w:rsid w:val="00B53BB1"/>
    <w:rsid w:val="00B8228E"/>
    <w:rsid w:val="00B956E4"/>
    <w:rsid w:val="00B97817"/>
    <w:rsid w:val="00BA079C"/>
    <w:rsid w:val="00BA5632"/>
    <w:rsid w:val="00BD3108"/>
    <w:rsid w:val="00BD58BE"/>
    <w:rsid w:val="00BE4CEE"/>
    <w:rsid w:val="00C16E32"/>
    <w:rsid w:val="00C453C2"/>
    <w:rsid w:val="00C56C64"/>
    <w:rsid w:val="00C82047"/>
    <w:rsid w:val="00CC0580"/>
    <w:rsid w:val="00CE3C01"/>
    <w:rsid w:val="00CF37BA"/>
    <w:rsid w:val="00D15001"/>
    <w:rsid w:val="00D50CF3"/>
    <w:rsid w:val="00D56974"/>
    <w:rsid w:val="00D80495"/>
    <w:rsid w:val="00D93AC7"/>
    <w:rsid w:val="00DC4EA2"/>
    <w:rsid w:val="00DD16D8"/>
    <w:rsid w:val="00DE6AB3"/>
    <w:rsid w:val="00E07095"/>
    <w:rsid w:val="00E118C0"/>
    <w:rsid w:val="00E140A8"/>
    <w:rsid w:val="00E20B28"/>
    <w:rsid w:val="00E25E9F"/>
    <w:rsid w:val="00E478CE"/>
    <w:rsid w:val="00E51006"/>
    <w:rsid w:val="00E52989"/>
    <w:rsid w:val="00E61BC1"/>
    <w:rsid w:val="00E74F8F"/>
    <w:rsid w:val="00E82084"/>
    <w:rsid w:val="00E936CF"/>
    <w:rsid w:val="00ED2EFF"/>
    <w:rsid w:val="00EE21C0"/>
    <w:rsid w:val="00EF47FC"/>
    <w:rsid w:val="00F112CD"/>
    <w:rsid w:val="00F17DD1"/>
    <w:rsid w:val="00F43491"/>
    <w:rsid w:val="00F65DB7"/>
    <w:rsid w:val="00F66798"/>
    <w:rsid w:val="00F735B0"/>
    <w:rsid w:val="00F74890"/>
    <w:rsid w:val="00F75666"/>
    <w:rsid w:val="00F8445D"/>
    <w:rsid w:val="00F86630"/>
    <w:rsid w:val="00F86C27"/>
    <w:rsid w:val="00FA0416"/>
    <w:rsid w:val="00FA2AB7"/>
    <w:rsid w:val="00FA66E1"/>
    <w:rsid w:val="00FB0772"/>
    <w:rsid w:val="00FC4249"/>
    <w:rsid w:val="00FD3D2A"/>
    <w:rsid w:val="00FF5324"/>
    <w:rsid w:val="00FF5542"/>
    <w:rsid w:val="01E66016"/>
    <w:rsid w:val="02C36CEA"/>
    <w:rsid w:val="02F121F2"/>
    <w:rsid w:val="03014C08"/>
    <w:rsid w:val="03692931"/>
    <w:rsid w:val="037D0809"/>
    <w:rsid w:val="056337F9"/>
    <w:rsid w:val="05952868"/>
    <w:rsid w:val="05B62ED1"/>
    <w:rsid w:val="065E0921"/>
    <w:rsid w:val="06B917F9"/>
    <w:rsid w:val="072B74F0"/>
    <w:rsid w:val="073829DC"/>
    <w:rsid w:val="077D0B31"/>
    <w:rsid w:val="07A737BB"/>
    <w:rsid w:val="081952B3"/>
    <w:rsid w:val="08950021"/>
    <w:rsid w:val="08BB45BC"/>
    <w:rsid w:val="08D16A1A"/>
    <w:rsid w:val="0923749D"/>
    <w:rsid w:val="0A1246B0"/>
    <w:rsid w:val="0A1B3564"/>
    <w:rsid w:val="0A526E34"/>
    <w:rsid w:val="0AA03A6A"/>
    <w:rsid w:val="0BCE4606"/>
    <w:rsid w:val="0C720257"/>
    <w:rsid w:val="0D41363A"/>
    <w:rsid w:val="0D5170B4"/>
    <w:rsid w:val="0DAE7BE0"/>
    <w:rsid w:val="0FFC5BE6"/>
    <w:rsid w:val="10855D6C"/>
    <w:rsid w:val="10BB385B"/>
    <w:rsid w:val="116D45C5"/>
    <w:rsid w:val="119912A6"/>
    <w:rsid w:val="126A2E10"/>
    <w:rsid w:val="12BC0057"/>
    <w:rsid w:val="13D33304"/>
    <w:rsid w:val="13FD25D6"/>
    <w:rsid w:val="146475E4"/>
    <w:rsid w:val="14656E95"/>
    <w:rsid w:val="14E30963"/>
    <w:rsid w:val="15984D3D"/>
    <w:rsid w:val="17477882"/>
    <w:rsid w:val="17CB18C0"/>
    <w:rsid w:val="18F55337"/>
    <w:rsid w:val="19091D55"/>
    <w:rsid w:val="19FD741B"/>
    <w:rsid w:val="1A8920EF"/>
    <w:rsid w:val="1BA97B4F"/>
    <w:rsid w:val="1BF06CB3"/>
    <w:rsid w:val="1D246249"/>
    <w:rsid w:val="1D320E99"/>
    <w:rsid w:val="1D495863"/>
    <w:rsid w:val="1EE52B1B"/>
    <w:rsid w:val="1FF623AB"/>
    <w:rsid w:val="20913F51"/>
    <w:rsid w:val="20CD7619"/>
    <w:rsid w:val="20E441D7"/>
    <w:rsid w:val="20F13C85"/>
    <w:rsid w:val="211865F8"/>
    <w:rsid w:val="212C5BFF"/>
    <w:rsid w:val="22140793"/>
    <w:rsid w:val="228A7081"/>
    <w:rsid w:val="229027C0"/>
    <w:rsid w:val="237F64BA"/>
    <w:rsid w:val="23985810"/>
    <w:rsid w:val="23A65005"/>
    <w:rsid w:val="24545227"/>
    <w:rsid w:val="246A5FF8"/>
    <w:rsid w:val="25B20DC9"/>
    <w:rsid w:val="2670754E"/>
    <w:rsid w:val="27090058"/>
    <w:rsid w:val="274851DE"/>
    <w:rsid w:val="277A14C9"/>
    <w:rsid w:val="28DB037A"/>
    <w:rsid w:val="29522DFF"/>
    <w:rsid w:val="29C55C6F"/>
    <w:rsid w:val="29CF181E"/>
    <w:rsid w:val="29E97626"/>
    <w:rsid w:val="2A2C7256"/>
    <w:rsid w:val="2A306760"/>
    <w:rsid w:val="2A427DD2"/>
    <w:rsid w:val="2AA64E47"/>
    <w:rsid w:val="2AF14836"/>
    <w:rsid w:val="2C387D97"/>
    <w:rsid w:val="2C7C2425"/>
    <w:rsid w:val="2CA13945"/>
    <w:rsid w:val="2E0C4F40"/>
    <w:rsid w:val="2FC545E1"/>
    <w:rsid w:val="301D32E3"/>
    <w:rsid w:val="306A6683"/>
    <w:rsid w:val="31280191"/>
    <w:rsid w:val="317C04B8"/>
    <w:rsid w:val="31D976A2"/>
    <w:rsid w:val="32554D06"/>
    <w:rsid w:val="333B17F8"/>
    <w:rsid w:val="33C1740A"/>
    <w:rsid w:val="341875DC"/>
    <w:rsid w:val="35BE7316"/>
    <w:rsid w:val="36C2448F"/>
    <w:rsid w:val="378D6A8E"/>
    <w:rsid w:val="37DC1CD5"/>
    <w:rsid w:val="37DF3574"/>
    <w:rsid w:val="391210E0"/>
    <w:rsid w:val="393F36AB"/>
    <w:rsid w:val="39BB5F1B"/>
    <w:rsid w:val="3AA52F72"/>
    <w:rsid w:val="3B6D58D9"/>
    <w:rsid w:val="3B812D57"/>
    <w:rsid w:val="3B8A70A7"/>
    <w:rsid w:val="3C613765"/>
    <w:rsid w:val="3C82226F"/>
    <w:rsid w:val="3CBE7BFC"/>
    <w:rsid w:val="3EF24F2A"/>
    <w:rsid w:val="3FFA1020"/>
    <w:rsid w:val="40535028"/>
    <w:rsid w:val="40C46DBA"/>
    <w:rsid w:val="40D21F7F"/>
    <w:rsid w:val="40F46F69"/>
    <w:rsid w:val="41226DBB"/>
    <w:rsid w:val="435C6144"/>
    <w:rsid w:val="43B24586"/>
    <w:rsid w:val="441426FE"/>
    <w:rsid w:val="443A1EE4"/>
    <w:rsid w:val="45F97EB5"/>
    <w:rsid w:val="462E695D"/>
    <w:rsid w:val="47046B53"/>
    <w:rsid w:val="4741335D"/>
    <w:rsid w:val="4998062F"/>
    <w:rsid w:val="4B0511D7"/>
    <w:rsid w:val="4B387402"/>
    <w:rsid w:val="4CBC7181"/>
    <w:rsid w:val="4CC2070E"/>
    <w:rsid w:val="4CDF4C3F"/>
    <w:rsid w:val="4D7C36D5"/>
    <w:rsid w:val="4DB74893"/>
    <w:rsid w:val="4E2F5D7B"/>
    <w:rsid w:val="4EB23B13"/>
    <w:rsid w:val="4EDF78DD"/>
    <w:rsid w:val="4EEB5F81"/>
    <w:rsid w:val="4F0268B4"/>
    <w:rsid w:val="500147E0"/>
    <w:rsid w:val="505051B7"/>
    <w:rsid w:val="509C1F49"/>
    <w:rsid w:val="50FA6ED9"/>
    <w:rsid w:val="511B790A"/>
    <w:rsid w:val="516669C7"/>
    <w:rsid w:val="51915C43"/>
    <w:rsid w:val="521F4F21"/>
    <w:rsid w:val="52927DEA"/>
    <w:rsid w:val="52B64923"/>
    <w:rsid w:val="52F43F1F"/>
    <w:rsid w:val="536D782E"/>
    <w:rsid w:val="54FB78A8"/>
    <w:rsid w:val="56352885"/>
    <w:rsid w:val="575D3169"/>
    <w:rsid w:val="57ED0FD8"/>
    <w:rsid w:val="580F1C97"/>
    <w:rsid w:val="58672FE8"/>
    <w:rsid w:val="59021F13"/>
    <w:rsid w:val="59D46859"/>
    <w:rsid w:val="5A571431"/>
    <w:rsid w:val="5BE1153C"/>
    <w:rsid w:val="5C04280A"/>
    <w:rsid w:val="5C62014C"/>
    <w:rsid w:val="5C6E6AF1"/>
    <w:rsid w:val="5D9911E0"/>
    <w:rsid w:val="5DA85EF3"/>
    <w:rsid w:val="5E1F6163"/>
    <w:rsid w:val="5EE331BC"/>
    <w:rsid w:val="5F7E1979"/>
    <w:rsid w:val="5FEB74DD"/>
    <w:rsid w:val="600D6620"/>
    <w:rsid w:val="605B3830"/>
    <w:rsid w:val="617F493F"/>
    <w:rsid w:val="618E3C90"/>
    <w:rsid w:val="61BC3785"/>
    <w:rsid w:val="62921F2B"/>
    <w:rsid w:val="62F13EDD"/>
    <w:rsid w:val="6424218B"/>
    <w:rsid w:val="6515446A"/>
    <w:rsid w:val="654A1084"/>
    <w:rsid w:val="65E560F1"/>
    <w:rsid w:val="665E12D2"/>
    <w:rsid w:val="66AA1576"/>
    <w:rsid w:val="66F611CB"/>
    <w:rsid w:val="67421633"/>
    <w:rsid w:val="678834BD"/>
    <w:rsid w:val="679A326F"/>
    <w:rsid w:val="67B73CA8"/>
    <w:rsid w:val="68B028D9"/>
    <w:rsid w:val="69B0502B"/>
    <w:rsid w:val="69BE43EC"/>
    <w:rsid w:val="6A3F7D1E"/>
    <w:rsid w:val="6B7C320B"/>
    <w:rsid w:val="6C852B4E"/>
    <w:rsid w:val="6D2E3B05"/>
    <w:rsid w:val="6D32258F"/>
    <w:rsid w:val="6D4231E0"/>
    <w:rsid w:val="6D4F2749"/>
    <w:rsid w:val="6DE2527C"/>
    <w:rsid w:val="6DE44554"/>
    <w:rsid w:val="6E366487"/>
    <w:rsid w:val="6EAC69F0"/>
    <w:rsid w:val="6F131930"/>
    <w:rsid w:val="6F337AA3"/>
    <w:rsid w:val="6F45720A"/>
    <w:rsid w:val="702F20B7"/>
    <w:rsid w:val="70544933"/>
    <w:rsid w:val="70666005"/>
    <w:rsid w:val="708C67E1"/>
    <w:rsid w:val="71411939"/>
    <w:rsid w:val="714C3766"/>
    <w:rsid w:val="72572C4C"/>
    <w:rsid w:val="732658D9"/>
    <w:rsid w:val="73871C90"/>
    <w:rsid w:val="73CD3624"/>
    <w:rsid w:val="74EC2851"/>
    <w:rsid w:val="75A45A2F"/>
    <w:rsid w:val="75D52EC9"/>
    <w:rsid w:val="767E15BC"/>
    <w:rsid w:val="76945F5C"/>
    <w:rsid w:val="76EC6603"/>
    <w:rsid w:val="786F24EB"/>
    <w:rsid w:val="7A7C01D3"/>
    <w:rsid w:val="7ACF7963"/>
    <w:rsid w:val="7B0C1557"/>
    <w:rsid w:val="7BA57C0F"/>
    <w:rsid w:val="7BD8369B"/>
    <w:rsid w:val="7BDA33A5"/>
    <w:rsid w:val="7CC96262"/>
    <w:rsid w:val="7D5C0394"/>
    <w:rsid w:val="7DC133D3"/>
    <w:rsid w:val="7E1431DA"/>
    <w:rsid w:val="7E3F2225"/>
    <w:rsid w:val="7E4C5A61"/>
    <w:rsid w:val="7E6911E4"/>
    <w:rsid w:val="7E7A5F12"/>
    <w:rsid w:val="7F4D5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0C294341"/>
  <w15:docId w15:val="{F97FE9FF-618C-4C13-A143-6DF8FF28F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Normal Indent"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Title" w:uiPriority="10" w:qFormat="1"/>
    <w:lsdException w:name="Default Paragraph Font" w:semiHidden="1" w:uiPriority="1" w:unhideWhenUsed="1"/>
    <w:lsdException w:name="Body Text"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autoRedefine/>
    <w:qFormat/>
    <w:pPr>
      <w:widowControl w:val="0"/>
      <w:jc w:val="both"/>
    </w:pPr>
    <w:rPr>
      <w:rFonts w:asciiTheme="minorHAnsi" w:eastAsiaTheme="minorEastAsia" w:hAnsiTheme="minorHAnsi" w:cstheme="minorBidi"/>
      <w:kern w:val="2"/>
      <w:sz w:val="21"/>
      <w:szCs w:val="24"/>
    </w:rPr>
  </w:style>
  <w:style w:type="paragraph" w:styleId="1">
    <w:name w:val="heading 1"/>
    <w:basedOn w:val="a5"/>
    <w:next w:val="a5"/>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5"/>
    <w:next w:val="a5"/>
    <w:link w:val="21"/>
    <w:autoRedefine/>
    <w:qFormat/>
    <w:pPr>
      <w:keepNext/>
      <w:keepLines/>
      <w:widowControl/>
      <w:spacing w:before="260" w:after="260" w:line="416" w:lineRule="auto"/>
      <w:jc w:val="left"/>
      <w:outlineLvl w:val="1"/>
    </w:pPr>
    <w:rPr>
      <w:rFonts w:ascii="Arial" w:eastAsia="黑体" w:hAnsi="Arial" w:cs="Times New Roman"/>
      <w:b/>
      <w:bCs/>
      <w:kern w:val="0"/>
      <w:sz w:val="32"/>
      <w:szCs w:val="32"/>
      <w:lang w:val="zh-CN"/>
    </w:rPr>
  </w:style>
  <w:style w:type="paragraph" w:styleId="3">
    <w:name w:val="heading 3"/>
    <w:basedOn w:val="a5"/>
    <w:next w:val="a5"/>
    <w:link w:val="30"/>
    <w:autoRedefine/>
    <w:semiHidden/>
    <w:unhideWhenUsed/>
    <w:qFormat/>
    <w:pPr>
      <w:keepNext/>
      <w:keepLines/>
      <w:spacing w:before="260" w:after="260" w:line="416" w:lineRule="auto"/>
      <w:outlineLvl w:val="2"/>
    </w:pPr>
    <w:rPr>
      <w:b/>
      <w:bCs/>
      <w:sz w:val="32"/>
      <w:szCs w:val="3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Normal Indent"/>
    <w:basedOn w:val="a5"/>
    <w:autoRedefine/>
    <w:qFormat/>
    <w:pPr>
      <w:widowControl/>
      <w:spacing w:line="360" w:lineRule="auto"/>
      <w:ind w:firstLine="420"/>
      <w:jc w:val="left"/>
    </w:pPr>
    <w:rPr>
      <w:rFonts w:ascii="Times New Roman" w:eastAsia="宋体" w:hAnsi="Times New Roman" w:cs="Times New Roman"/>
      <w:szCs w:val="20"/>
    </w:rPr>
  </w:style>
  <w:style w:type="paragraph" w:styleId="aa">
    <w:name w:val="annotation text"/>
    <w:basedOn w:val="a5"/>
    <w:autoRedefine/>
    <w:qFormat/>
    <w:pPr>
      <w:jc w:val="left"/>
    </w:pPr>
  </w:style>
  <w:style w:type="paragraph" w:styleId="ab">
    <w:name w:val="Body Text"/>
    <w:basedOn w:val="a5"/>
    <w:autoRedefine/>
    <w:qFormat/>
    <w:pPr>
      <w:spacing w:after="120"/>
    </w:pPr>
    <w:rPr>
      <w:kern w:val="0"/>
      <w:sz w:val="20"/>
    </w:rPr>
  </w:style>
  <w:style w:type="paragraph" w:styleId="ac">
    <w:name w:val="Balloon Text"/>
    <w:basedOn w:val="a5"/>
    <w:link w:val="ad"/>
    <w:autoRedefine/>
    <w:qFormat/>
    <w:rPr>
      <w:sz w:val="18"/>
      <w:szCs w:val="18"/>
    </w:rPr>
  </w:style>
  <w:style w:type="paragraph" w:styleId="ae">
    <w:name w:val="footer"/>
    <w:basedOn w:val="a5"/>
    <w:link w:val="af"/>
    <w:autoRedefine/>
    <w:uiPriority w:val="99"/>
    <w:qFormat/>
    <w:pPr>
      <w:tabs>
        <w:tab w:val="center" w:pos="4153"/>
        <w:tab w:val="right" w:pos="8306"/>
      </w:tabs>
      <w:snapToGrid w:val="0"/>
      <w:spacing w:before="120" w:after="120"/>
      <w:jc w:val="left"/>
    </w:pPr>
    <w:rPr>
      <w:rFonts w:ascii="宋体" w:eastAsia="宋体" w:hAnsi="宋体" w:cs="宋体"/>
      <w:sz w:val="18"/>
      <w:szCs w:val="18"/>
    </w:rPr>
  </w:style>
  <w:style w:type="paragraph" w:styleId="af0">
    <w:name w:val="header"/>
    <w:basedOn w:val="a5"/>
    <w:link w:val="af1"/>
    <w:autoRedefine/>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5"/>
    <w:next w:val="a5"/>
    <w:autoRedefine/>
    <w:uiPriority w:val="39"/>
    <w:qFormat/>
    <w:pPr>
      <w:tabs>
        <w:tab w:val="right" w:leader="dot" w:pos="9345"/>
      </w:tabs>
    </w:pPr>
    <w:rPr>
      <w:rFonts w:asciiTheme="minorEastAsia" w:hAnsiTheme="minorEastAsia"/>
    </w:rPr>
  </w:style>
  <w:style w:type="paragraph" w:styleId="TOC2">
    <w:name w:val="toc 2"/>
    <w:basedOn w:val="a5"/>
    <w:next w:val="a5"/>
    <w:autoRedefine/>
    <w:uiPriority w:val="39"/>
    <w:qFormat/>
    <w:pPr>
      <w:tabs>
        <w:tab w:val="right" w:leader="dot" w:pos="9345"/>
      </w:tabs>
      <w:spacing w:line="400" w:lineRule="exact"/>
      <w:ind w:leftChars="200" w:left="420"/>
    </w:pPr>
    <w:rPr>
      <w:rFonts w:asciiTheme="minorEastAsia" w:hAnsiTheme="minorEastAsia"/>
      <w14:scene3d>
        <w14:camera w14:prst="orthographicFront"/>
        <w14:lightRig w14:rig="threePt" w14:dir="t">
          <w14:rot w14:lat="0" w14:lon="0" w14:rev="0"/>
        </w14:lightRig>
      </w14:scene3d>
    </w:rPr>
  </w:style>
  <w:style w:type="paragraph" w:styleId="af2">
    <w:name w:val="Normal (Web)"/>
    <w:basedOn w:val="a5"/>
    <w:uiPriority w:val="99"/>
    <w:semiHidden/>
    <w:unhideWhenUsed/>
    <w:qFormat/>
    <w:pPr>
      <w:widowControl/>
      <w:spacing w:before="100" w:beforeAutospacing="1" w:after="100" w:afterAutospacing="1"/>
      <w:jc w:val="left"/>
    </w:pPr>
    <w:rPr>
      <w:rFonts w:ascii="宋体" w:hAnsi="宋体" w:cs="宋体"/>
      <w:kern w:val="0"/>
      <w:sz w:val="24"/>
    </w:rPr>
  </w:style>
  <w:style w:type="paragraph" w:styleId="af3">
    <w:name w:val="Title"/>
    <w:basedOn w:val="a5"/>
    <w:next w:val="a5"/>
    <w:autoRedefine/>
    <w:uiPriority w:val="10"/>
    <w:qFormat/>
    <w:pPr>
      <w:spacing w:before="240" w:after="60"/>
      <w:jc w:val="center"/>
      <w:outlineLvl w:val="0"/>
    </w:pPr>
    <w:rPr>
      <w:rFonts w:asciiTheme="majorHAnsi" w:eastAsiaTheme="majorEastAsia" w:hAnsiTheme="majorHAnsi" w:cstheme="majorBidi"/>
      <w:b/>
      <w:bCs/>
      <w:sz w:val="32"/>
      <w:szCs w:val="32"/>
    </w:rPr>
  </w:style>
  <w:style w:type="table" w:styleId="af4">
    <w:name w:val="Table Grid"/>
    <w:basedOn w:val="a7"/>
    <w:autoRedefine/>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6"/>
    <w:autoRedefine/>
    <w:uiPriority w:val="99"/>
    <w:unhideWhenUsed/>
    <w:qFormat/>
    <w:rPr>
      <w:color w:val="0563C1" w:themeColor="hyperlink"/>
      <w:u w:val="single"/>
    </w:rPr>
  </w:style>
  <w:style w:type="character" w:styleId="af6">
    <w:name w:val="annotation reference"/>
    <w:basedOn w:val="a6"/>
    <w:autoRedefine/>
    <w:qFormat/>
    <w:rPr>
      <w:sz w:val="21"/>
      <w:szCs w:val="21"/>
    </w:rPr>
  </w:style>
  <w:style w:type="paragraph" w:customStyle="1" w:styleId="a4">
    <w:name w:val="章标题"/>
    <w:basedOn w:val="10"/>
    <w:next w:val="af7"/>
    <w:autoRedefine/>
    <w:qFormat/>
    <w:pPr>
      <w:numPr>
        <w:ilvl w:val="1"/>
        <w:numId w:val="1"/>
      </w:numPr>
      <w:tabs>
        <w:tab w:val="left" w:pos="426"/>
      </w:tabs>
      <w:spacing w:beforeLines="100" w:before="312" w:afterLines="100" w:after="312"/>
      <w:ind w:left="782" w:hanging="782"/>
    </w:pPr>
    <w:rPr>
      <w:rFonts w:cs="Times New Roman"/>
      <w:szCs w:val="24"/>
      <w:lang w:val="zh-CN"/>
    </w:rPr>
  </w:style>
  <w:style w:type="paragraph" w:customStyle="1" w:styleId="10">
    <w:name w:val="1章标题"/>
    <w:next w:val="a5"/>
    <w:autoRedefine/>
    <w:uiPriority w:val="99"/>
    <w:qFormat/>
    <w:pPr>
      <w:spacing w:beforeLines="50" w:afterLines="50"/>
      <w:jc w:val="both"/>
      <w:outlineLvl w:val="0"/>
    </w:pPr>
    <w:rPr>
      <w:rFonts w:ascii="黑体" w:eastAsia="黑体" w:cs="黑体"/>
      <w:sz w:val="21"/>
      <w:szCs w:val="21"/>
    </w:rPr>
  </w:style>
  <w:style w:type="paragraph" w:customStyle="1" w:styleId="af7">
    <w:name w:val="段"/>
    <w:autoRedefine/>
    <w:qFormat/>
    <w:pPr>
      <w:autoSpaceDE w:val="0"/>
      <w:autoSpaceDN w:val="0"/>
      <w:ind w:firstLineChars="200" w:firstLine="420"/>
      <w:jc w:val="both"/>
    </w:pPr>
    <w:rPr>
      <w:rFonts w:ascii="宋体"/>
    </w:rPr>
  </w:style>
  <w:style w:type="paragraph" w:customStyle="1" w:styleId="af8">
    <w:name w:val="其他标准称谓"/>
    <w:next w:val="a5"/>
    <w:autoRedefine/>
    <w:qFormat/>
    <w:pPr>
      <w:spacing w:line="0" w:lineRule="atLeast"/>
      <w:jc w:val="distribute"/>
    </w:pPr>
    <w:rPr>
      <w:rFonts w:ascii="黑体" w:eastAsia="黑体" w:hAnsi="宋体"/>
      <w:sz w:val="52"/>
    </w:rPr>
  </w:style>
  <w:style w:type="paragraph" w:customStyle="1" w:styleId="a3">
    <w:name w:val="附录一级条标题"/>
    <w:basedOn w:val="a5"/>
    <w:next w:val="a5"/>
    <w:autoRedefine/>
    <w:qFormat/>
    <w:pPr>
      <w:numPr>
        <w:ilvl w:val="1"/>
        <w:numId w:val="2"/>
      </w:numPr>
      <w:tabs>
        <w:tab w:val="left" w:pos="525"/>
      </w:tabs>
      <w:wordWrap w:val="0"/>
      <w:overflowPunct w:val="0"/>
      <w:autoSpaceDE w:val="0"/>
      <w:autoSpaceDN w:val="0"/>
      <w:spacing w:beforeLines="100" w:afterLines="100"/>
      <w:textAlignment w:val="baseline"/>
      <w:outlineLvl w:val="1"/>
    </w:pPr>
    <w:rPr>
      <w:rFonts w:ascii="黑体" w:eastAsia="黑体" w:hAnsi="宋体"/>
      <w:kern w:val="21"/>
      <w:szCs w:val="20"/>
    </w:rPr>
  </w:style>
  <w:style w:type="paragraph" w:customStyle="1" w:styleId="af9">
    <w:name w:val="封面标准英文名称"/>
    <w:autoRedefine/>
    <w:uiPriority w:val="99"/>
    <w:qFormat/>
    <w:pPr>
      <w:widowControl w:val="0"/>
      <w:spacing w:before="370" w:line="400" w:lineRule="exact"/>
      <w:jc w:val="center"/>
    </w:pPr>
    <w:rPr>
      <w:rFonts w:ascii="黑体" w:eastAsia="黑体" w:hAnsi="黑体"/>
      <w:color w:val="FF0000"/>
      <w:sz w:val="24"/>
      <w:szCs w:val="24"/>
    </w:rPr>
  </w:style>
  <w:style w:type="paragraph" w:customStyle="1" w:styleId="WPSOffice1">
    <w:name w:val="WPSOffice手动目录 1"/>
    <w:autoRedefine/>
    <w:qFormat/>
  </w:style>
  <w:style w:type="paragraph" w:customStyle="1" w:styleId="WPSOffice2">
    <w:name w:val="WPSOffice手动目录 2"/>
    <w:autoRedefine/>
    <w:qFormat/>
    <w:pPr>
      <w:ind w:leftChars="200" w:left="200"/>
    </w:pPr>
  </w:style>
  <w:style w:type="character" w:customStyle="1" w:styleId="ad">
    <w:name w:val="批注框文本 字符"/>
    <w:basedOn w:val="a6"/>
    <w:link w:val="ac"/>
    <w:autoRedefine/>
    <w:qFormat/>
    <w:rPr>
      <w:rFonts w:asciiTheme="minorHAnsi" w:eastAsiaTheme="minorEastAsia" w:hAnsiTheme="minorHAnsi" w:cstheme="minorBidi"/>
      <w:kern w:val="2"/>
      <w:sz w:val="18"/>
      <w:szCs w:val="18"/>
    </w:rPr>
  </w:style>
  <w:style w:type="character" w:styleId="afa">
    <w:name w:val="Placeholder Text"/>
    <w:basedOn w:val="a6"/>
    <w:autoRedefine/>
    <w:uiPriority w:val="99"/>
    <w:semiHidden/>
    <w:qFormat/>
    <w:rPr>
      <w:color w:val="808080"/>
    </w:rPr>
  </w:style>
  <w:style w:type="paragraph" w:styleId="afb">
    <w:name w:val="List Paragraph"/>
    <w:basedOn w:val="a5"/>
    <w:autoRedefine/>
    <w:uiPriority w:val="99"/>
    <w:qFormat/>
    <w:pPr>
      <w:ind w:firstLineChars="200" w:firstLine="420"/>
    </w:pPr>
  </w:style>
  <w:style w:type="character" w:customStyle="1" w:styleId="20">
    <w:name w:val="标题 2 字符"/>
    <w:basedOn w:val="a6"/>
    <w:autoRedefine/>
    <w:semiHidden/>
    <w:qFormat/>
    <w:rPr>
      <w:rFonts w:asciiTheme="majorHAnsi" w:eastAsiaTheme="majorEastAsia" w:hAnsiTheme="majorHAnsi" w:cstheme="majorBidi"/>
      <w:b/>
      <w:bCs/>
      <w:kern w:val="2"/>
      <w:sz w:val="32"/>
      <w:szCs w:val="32"/>
    </w:rPr>
  </w:style>
  <w:style w:type="character" w:customStyle="1" w:styleId="21">
    <w:name w:val="标题 2 字符1"/>
    <w:link w:val="2"/>
    <w:autoRedefine/>
    <w:qFormat/>
    <w:rPr>
      <w:rFonts w:ascii="Arial" w:eastAsia="黑体" w:hAnsi="Arial"/>
      <w:b/>
      <w:bCs/>
      <w:sz w:val="32"/>
      <w:szCs w:val="32"/>
      <w:lang w:val="zh-CN" w:eastAsia="zh-CN"/>
    </w:rPr>
  </w:style>
  <w:style w:type="character" w:customStyle="1" w:styleId="30">
    <w:name w:val="标题 3 字符"/>
    <w:basedOn w:val="a6"/>
    <w:link w:val="3"/>
    <w:autoRedefine/>
    <w:semiHidden/>
    <w:qFormat/>
    <w:rPr>
      <w:rFonts w:asciiTheme="minorHAnsi" w:eastAsiaTheme="minorEastAsia" w:hAnsiTheme="minorHAnsi" w:cstheme="minorBidi"/>
      <w:b/>
      <w:bCs/>
      <w:kern w:val="2"/>
      <w:sz w:val="32"/>
      <w:szCs w:val="32"/>
    </w:rPr>
  </w:style>
  <w:style w:type="paragraph" w:customStyle="1" w:styleId="Style26">
    <w:name w:val="_Style 26"/>
    <w:basedOn w:val="a5"/>
    <w:next w:val="afb"/>
    <w:autoRedefine/>
    <w:uiPriority w:val="34"/>
    <w:qFormat/>
    <w:pPr>
      <w:widowControl/>
      <w:spacing w:line="360" w:lineRule="auto"/>
      <w:ind w:firstLineChars="200" w:firstLine="420"/>
      <w:jc w:val="left"/>
    </w:pPr>
    <w:rPr>
      <w:rFonts w:ascii="Times New Roman" w:eastAsia="宋体" w:hAnsi="Times New Roman" w:cs="Times New Roman"/>
    </w:rPr>
  </w:style>
  <w:style w:type="character" w:customStyle="1" w:styleId="af1">
    <w:name w:val="页眉 字符"/>
    <w:basedOn w:val="a6"/>
    <w:link w:val="af0"/>
    <w:autoRedefine/>
    <w:uiPriority w:val="99"/>
    <w:qFormat/>
    <w:rPr>
      <w:rFonts w:asciiTheme="minorHAnsi" w:eastAsiaTheme="minorEastAsia" w:hAnsiTheme="minorHAnsi" w:cstheme="minorBidi"/>
      <w:kern w:val="2"/>
      <w:sz w:val="18"/>
      <w:szCs w:val="24"/>
    </w:rPr>
  </w:style>
  <w:style w:type="paragraph" w:customStyle="1" w:styleId="afc">
    <w:name w:val="标准称谓"/>
    <w:next w:val="a5"/>
    <w:autoRedefine/>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d">
    <w:name w:val="标准文件_文件编号"/>
    <w:basedOn w:val="a5"/>
    <w:autoRedefine/>
    <w:qFormat/>
    <w:pPr>
      <w:framePr w:w="9356" w:h="624" w:hRule="exact" w:hSpace="181" w:vSpace="181" w:wrap="auto" w:vAnchor="page" w:hAnchor="page" w:x="1419" w:y="3284"/>
      <w:widowControl/>
      <w:wordWrap w:val="0"/>
      <w:autoSpaceDE w:val="0"/>
      <w:autoSpaceDN w:val="0"/>
      <w:spacing w:line="280" w:lineRule="exact"/>
      <w:jc w:val="right"/>
    </w:pPr>
    <w:rPr>
      <w:rFonts w:ascii="黑体" w:eastAsia="黑体" w:hAnsi="Times New Roman" w:cs="Times New Roman"/>
      <w:bCs/>
      <w:kern w:val="0"/>
      <w:sz w:val="28"/>
      <w:szCs w:val="28"/>
    </w:rPr>
  </w:style>
  <w:style w:type="paragraph" w:customStyle="1" w:styleId="afe">
    <w:name w:val="标准文件_替换文件编号"/>
    <w:basedOn w:val="afd"/>
    <w:autoRedefine/>
    <w:qFormat/>
    <w:pPr>
      <w:framePr w:wrap="auto"/>
      <w:spacing w:before="57"/>
    </w:pPr>
    <w:rPr>
      <w:sz w:val="21"/>
    </w:rPr>
  </w:style>
  <w:style w:type="paragraph" w:customStyle="1" w:styleId="11">
    <w:name w:val="修订1"/>
    <w:autoRedefine/>
    <w:hidden/>
    <w:uiPriority w:val="99"/>
    <w:semiHidden/>
    <w:qFormat/>
    <w:rPr>
      <w:rFonts w:asciiTheme="minorHAnsi" w:eastAsiaTheme="minorEastAsia" w:hAnsiTheme="minorHAnsi" w:cstheme="minorBidi"/>
      <w:kern w:val="2"/>
      <w:sz w:val="21"/>
      <w:szCs w:val="24"/>
    </w:rPr>
  </w:style>
  <w:style w:type="paragraph" w:customStyle="1" w:styleId="Char">
    <w:name w:val="段 Char"/>
    <w:autoRedefine/>
    <w:qFormat/>
    <w:pPr>
      <w:tabs>
        <w:tab w:val="center" w:pos="4201"/>
        <w:tab w:val="right" w:leader="dot" w:pos="9298"/>
      </w:tabs>
      <w:autoSpaceDE w:val="0"/>
      <w:autoSpaceDN w:val="0"/>
      <w:ind w:firstLineChars="200" w:firstLine="420"/>
      <w:jc w:val="both"/>
    </w:pPr>
    <w:rPr>
      <w:rFonts w:ascii="宋体" w:hAnsi="Calibri" w:cs="Calibri"/>
      <w:sz w:val="21"/>
      <w:szCs w:val="22"/>
    </w:rPr>
  </w:style>
  <w:style w:type="paragraph" w:customStyle="1" w:styleId="aff">
    <w:name w:val="文献分类号"/>
    <w:autoRedefine/>
    <w:qFormat/>
    <w:pPr>
      <w:framePr w:hSpace="180" w:vSpace="180" w:wrap="auto" w:hAnchor="margin" w:y="1" w:anchorLock="1"/>
      <w:widowControl w:val="0"/>
      <w:textAlignment w:val="center"/>
    </w:pPr>
    <w:rPr>
      <w:rFonts w:ascii="黑体" w:eastAsia="黑体"/>
      <w:sz w:val="21"/>
      <w:szCs w:val="21"/>
    </w:rPr>
  </w:style>
  <w:style w:type="paragraph" w:customStyle="1" w:styleId="aff0">
    <w:name w:val="其他发布日期"/>
    <w:basedOn w:val="a5"/>
    <w:autoRedefine/>
    <w:qFormat/>
    <w:pPr>
      <w:framePr w:w="3997" w:h="471" w:hRule="exact" w:vSpace="181" w:wrap="auto" w:vAnchor="page" w:hAnchor="page" w:x="1419" w:y="14097" w:anchorLock="1"/>
      <w:widowControl/>
      <w:jc w:val="left"/>
    </w:pPr>
    <w:rPr>
      <w:rFonts w:eastAsia="黑体"/>
      <w:kern w:val="0"/>
      <w:sz w:val="28"/>
      <w:szCs w:val="20"/>
    </w:rPr>
  </w:style>
  <w:style w:type="paragraph" w:customStyle="1" w:styleId="aff1">
    <w:name w:val="其他实施日期"/>
    <w:basedOn w:val="a5"/>
    <w:autoRedefine/>
    <w:qFormat/>
    <w:pPr>
      <w:framePr w:w="3997" w:h="471" w:hRule="exact" w:vSpace="181" w:wrap="auto" w:vAnchor="page" w:hAnchor="page" w:x="7089" w:y="14097" w:anchorLock="1"/>
      <w:widowControl/>
      <w:jc w:val="right"/>
    </w:pPr>
    <w:rPr>
      <w:rFonts w:eastAsia="黑体"/>
      <w:kern w:val="0"/>
      <w:sz w:val="28"/>
      <w:szCs w:val="20"/>
    </w:rPr>
  </w:style>
  <w:style w:type="paragraph" w:customStyle="1" w:styleId="aff2">
    <w:name w:val="目次、标准名称标题"/>
    <w:basedOn w:val="a5"/>
    <w:next w:val="af7"/>
    <w:autoRedefine/>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3">
    <w:name w:val="一级条标题"/>
    <w:basedOn w:val="aff4"/>
    <w:next w:val="af7"/>
    <w:autoRedefine/>
    <w:qFormat/>
    <w:pPr>
      <w:outlineLvl w:val="2"/>
    </w:pPr>
    <w:rPr>
      <w:szCs w:val="21"/>
    </w:rPr>
  </w:style>
  <w:style w:type="paragraph" w:customStyle="1" w:styleId="aff4">
    <w:name w:val="标准文件_一级条标题"/>
    <w:basedOn w:val="aff5"/>
    <w:next w:val="aff6"/>
    <w:autoRedefine/>
    <w:uiPriority w:val="99"/>
    <w:qFormat/>
    <w:pPr>
      <w:spacing w:beforeLines="50" w:before="50" w:afterLines="50" w:after="50"/>
      <w:outlineLvl w:val="1"/>
    </w:pPr>
  </w:style>
  <w:style w:type="paragraph" w:customStyle="1" w:styleId="aff5">
    <w:name w:val="标准文件_章标题"/>
    <w:next w:val="a5"/>
    <w:autoRedefine/>
    <w:qFormat/>
    <w:pPr>
      <w:spacing w:beforeLines="100" w:before="100" w:afterLines="100" w:after="100"/>
      <w:ind w:left="2694"/>
      <w:jc w:val="both"/>
      <w:outlineLvl w:val="0"/>
    </w:pPr>
    <w:rPr>
      <w:rFonts w:ascii="黑体" w:eastAsia="黑体"/>
      <w:sz w:val="21"/>
    </w:rPr>
  </w:style>
  <w:style w:type="paragraph" w:customStyle="1" w:styleId="aff6">
    <w:name w:val="标准文件_段"/>
    <w:autoRedefine/>
    <w:qFormat/>
    <w:pPr>
      <w:autoSpaceDE w:val="0"/>
      <w:autoSpaceDN w:val="0"/>
      <w:ind w:firstLineChars="200" w:firstLine="200"/>
      <w:jc w:val="both"/>
    </w:pPr>
    <w:rPr>
      <w:rFonts w:ascii="宋体"/>
      <w:sz w:val="21"/>
    </w:rPr>
  </w:style>
  <w:style w:type="paragraph" w:customStyle="1" w:styleId="aff7">
    <w:name w:val="目次、前言、引言"/>
    <w:basedOn w:val="af3"/>
    <w:next w:val="af7"/>
    <w:autoRedefine/>
    <w:qFormat/>
    <w:pPr>
      <w:tabs>
        <w:tab w:val="left" w:pos="964"/>
        <w:tab w:val="center" w:pos="4677"/>
      </w:tabs>
      <w:adjustRightInd w:val="0"/>
      <w:spacing w:before="156" w:after="156"/>
    </w:pPr>
    <w:rPr>
      <w:rFonts w:ascii="黑体" w:eastAsia="黑体" w:hAnsi="黑体"/>
      <w:b w:val="0"/>
    </w:rPr>
  </w:style>
  <w:style w:type="paragraph" w:customStyle="1" w:styleId="aff8">
    <w:name w:val="正文段落，引导语"/>
    <w:basedOn w:val="af7"/>
    <w:autoRedefine/>
    <w:qFormat/>
    <w:rPr>
      <w:rFonts w:hAnsi="宋体"/>
    </w:rPr>
  </w:style>
  <w:style w:type="paragraph" w:customStyle="1" w:styleId="aff9">
    <w:name w:val="附录标题"/>
    <w:basedOn w:val="affa"/>
    <w:next w:val="af7"/>
    <w:autoRedefine/>
    <w:qFormat/>
    <w:pPr>
      <w:spacing w:after="360" w:line="360" w:lineRule="exact"/>
    </w:pPr>
  </w:style>
  <w:style w:type="paragraph" w:customStyle="1" w:styleId="affa">
    <w:name w:val="附录标识"/>
    <w:basedOn w:val="a5"/>
    <w:next w:val="af7"/>
    <w:autoRedefine/>
    <w:qFormat/>
    <w:pPr>
      <w:keepNext/>
      <w:widowControl/>
      <w:shd w:val="clear" w:color="FFFFFF" w:fill="FFFFFF"/>
      <w:tabs>
        <w:tab w:val="left" w:pos="360"/>
        <w:tab w:val="left" w:pos="6405"/>
      </w:tabs>
      <w:spacing w:before="640" w:after="280"/>
      <w:jc w:val="center"/>
      <w:outlineLvl w:val="0"/>
    </w:pPr>
    <w:rPr>
      <w:rFonts w:ascii="黑体" w:eastAsia="黑体" w:hAnsi="Times New Roman" w:cs="Times New Roman"/>
      <w:kern w:val="0"/>
      <w:szCs w:val="20"/>
    </w:rPr>
  </w:style>
  <w:style w:type="paragraph" w:customStyle="1" w:styleId="affb">
    <w:name w:val="其他发布部门"/>
    <w:basedOn w:val="affc"/>
    <w:qFormat/>
    <w:pPr>
      <w:framePr w:wrap="around" w:y="15310"/>
      <w:spacing w:line="0" w:lineRule="atLeast"/>
    </w:pPr>
    <w:rPr>
      <w:rFonts w:ascii="黑体" w:eastAsia="黑体"/>
      <w:b w:val="0"/>
    </w:rPr>
  </w:style>
  <w:style w:type="paragraph" w:customStyle="1" w:styleId="affc">
    <w:name w:val="发布部门"/>
    <w:next w:val="af7"/>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mxz">
    <w:name w:val="mxz"/>
    <w:qFormat/>
    <w:pPr>
      <w:ind w:firstLineChars="200" w:firstLine="420"/>
    </w:pPr>
    <w:rPr>
      <w:sz w:val="21"/>
      <w:szCs w:val="44"/>
    </w:rPr>
  </w:style>
  <w:style w:type="paragraph" w:customStyle="1" w:styleId="affd">
    <w:name w:val="注×："/>
    <w:qFormat/>
    <w:pPr>
      <w:widowControl w:val="0"/>
      <w:autoSpaceDE w:val="0"/>
      <w:autoSpaceDN w:val="0"/>
      <w:ind w:left="811" w:hanging="448"/>
      <w:jc w:val="both"/>
    </w:pPr>
    <w:rPr>
      <w:rFonts w:ascii="宋体"/>
      <w:sz w:val="18"/>
      <w:szCs w:val="18"/>
    </w:rPr>
  </w:style>
  <w:style w:type="paragraph" w:customStyle="1" w:styleId="affe">
    <w:name w:val="注：（正文）"/>
    <w:basedOn w:val="afff"/>
    <w:next w:val="af7"/>
    <w:qFormat/>
  </w:style>
  <w:style w:type="paragraph" w:customStyle="1" w:styleId="afff">
    <w:name w:val="注："/>
    <w:next w:val="af7"/>
    <w:qFormat/>
    <w:pPr>
      <w:widowControl w:val="0"/>
      <w:autoSpaceDE w:val="0"/>
      <w:autoSpaceDN w:val="0"/>
      <w:ind w:left="726" w:hanging="363"/>
      <w:jc w:val="both"/>
    </w:pPr>
    <w:rPr>
      <w:rFonts w:ascii="宋体"/>
      <w:sz w:val="18"/>
      <w:szCs w:val="18"/>
    </w:rPr>
  </w:style>
  <w:style w:type="paragraph" w:customStyle="1" w:styleId="a1">
    <w:name w:val="标阿三级"/>
    <w:next w:val="mxz"/>
    <w:qFormat/>
    <w:pPr>
      <w:numPr>
        <w:ilvl w:val="2"/>
        <w:numId w:val="3"/>
      </w:numPr>
      <w:tabs>
        <w:tab w:val="left" w:pos="0"/>
      </w:tabs>
      <w:spacing w:beforeLines="20" w:before="20" w:afterLines="20" w:after="20"/>
      <w:outlineLvl w:val="2"/>
    </w:pPr>
    <w:rPr>
      <w:sz w:val="21"/>
    </w:rPr>
  </w:style>
  <w:style w:type="paragraph" w:customStyle="1" w:styleId="a2">
    <w:name w:val="标阿四级"/>
    <w:next w:val="mxz"/>
    <w:qFormat/>
    <w:pPr>
      <w:numPr>
        <w:ilvl w:val="3"/>
        <w:numId w:val="3"/>
      </w:numPr>
      <w:tabs>
        <w:tab w:val="left" w:pos="442"/>
        <w:tab w:val="left" w:pos="539"/>
        <w:tab w:val="left" w:pos="567"/>
      </w:tabs>
      <w:outlineLvl w:val="3"/>
    </w:pPr>
    <w:rPr>
      <w:sz w:val="21"/>
    </w:rPr>
  </w:style>
  <w:style w:type="paragraph" w:customStyle="1" w:styleId="mxzabc">
    <w:name w:val="mxzabc"/>
    <w:basedOn w:val="mxz"/>
    <w:qFormat/>
    <w:pPr>
      <w:ind w:leftChars="200" w:left="735" w:hangingChars="150" w:hanging="315"/>
    </w:pPr>
    <w:rPr>
      <w:rFonts w:hint="eastAsia"/>
    </w:rPr>
  </w:style>
  <w:style w:type="paragraph" w:customStyle="1" w:styleId="a0">
    <w:name w:val="标阿二级"/>
    <w:next w:val="mxz"/>
    <w:qFormat/>
    <w:pPr>
      <w:numPr>
        <w:ilvl w:val="1"/>
        <w:numId w:val="3"/>
      </w:numPr>
      <w:spacing w:beforeLines="50" w:before="50" w:afterLines="50" w:after="50"/>
      <w:outlineLvl w:val="1"/>
    </w:pPr>
    <w:rPr>
      <w:rFonts w:eastAsia="黑体"/>
      <w:sz w:val="21"/>
    </w:rPr>
  </w:style>
  <w:style w:type="paragraph" w:customStyle="1" w:styleId="a">
    <w:name w:val="标阿一级"/>
    <w:qFormat/>
    <w:pPr>
      <w:numPr>
        <w:numId w:val="3"/>
      </w:numPr>
      <w:tabs>
        <w:tab w:val="left" w:pos="442"/>
      </w:tabs>
      <w:spacing w:beforeLines="100" w:before="100" w:afterLines="100" w:after="100" w:line="360" w:lineRule="auto"/>
      <w:outlineLvl w:val="0"/>
    </w:pPr>
    <w:rPr>
      <w:rFonts w:eastAsia="黑体"/>
      <w:sz w:val="21"/>
    </w:rPr>
  </w:style>
  <w:style w:type="paragraph" w:customStyle="1" w:styleId="afff0">
    <w:name w:val="标准书眉_奇数页"/>
    <w:next w:val="a5"/>
    <w:qFormat/>
    <w:pPr>
      <w:tabs>
        <w:tab w:val="center" w:pos="4154"/>
        <w:tab w:val="right" w:pos="8306"/>
      </w:tabs>
      <w:spacing w:after="220"/>
      <w:jc w:val="right"/>
    </w:pPr>
    <w:rPr>
      <w:rFonts w:ascii="黑体" w:eastAsia="黑体"/>
      <w:sz w:val="21"/>
      <w:szCs w:val="21"/>
    </w:rPr>
  </w:style>
  <w:style w:type="paragraph" w:customStyle="1" w:styleId="afff1">
    <w:name w:val="标准文件_正文图标题"/>
    <w:next w:val="aff6"/>
    <w:qFormat/>
    <w:pPr>
      <w:spacing w:beforeLines="50" w:before="50" w:afterLines="50" w:after="50"/>
      <w:jc w:val="center"/>
    </w:pPr>
    <w:rPr>
      <w:rFonts w:ascii="黑体" w:eastAsia="黑体"/>
      <w:sz w:val="21"/>
    </w:rPr>
  </w:style>
  <w:style w:type="paragraph" w:customStyle="1" w:styleId="afff2">
    <w:name w:val="列出段落"/>
    <w:basedOn w:val="a5"/>
    <w:uiPriority w:val="99"/>
    <w:qFormat/>
    <w:pPr>
      <w:ind w:firstLineChars="200" w:firstLine="420"/>
    </w:pPr>
  </w:style>
  <w:style w:type="paragraph" w:customStyle="1" w:styleId="22">
    <w:name w:val="修订2"/>
    <w:hidden/>
    <w:uiPriority w:val="99"/>
    <w:unhideWhenUsed/>
    <w:qFormat/>
    <w:rPr>
      <w:rFonts w:asciiTheme="minorHAnsi" w:eastAsiaTheme="minorEastAsia" w:hAnsiTheme="minorHAnsi" w:cstheme="minorBidi"/>
      <w:kern w:val="2"/>
      <w:sz w:val="21"/>
      <w:szCs w:val="24"/>
    </w:rPr>
  </w:style>
  <w:style w:type="paragraph" w:customStyle="1" w:styleId="210">
    <w:name w:val="目录 21"/>
    <w:basedOn w:val="a5"/>
    <w:next w:val="a5"/>
    <w:uiPriority w:val="39"/>
    <w:qFormat/>
    <w:pPr>
      <w:tabs>
        <w:tab w:val="right" w:leader="dot" w:pos="9241"/>
      </w:tabs>
    </w:pPr>
    <w:rPr>
      <w:rFonts w:ascii="宋体" w:eastAsia="宋体" w:hAnsi="Times New Roman" w:cs="Times New Roman"/>
      <w:szCs w:val="21"/>
    </w:rPr>
  </w:style>
  <w:style w:type="character" w:customStyle="1" w:styleId="af">
    <w:name w:val="页脚 字符"/>
    <w:basedOn w:val="a6"/>
    <w:link w:val="ae"/>
    <w:uiPriority w:val="99"/>
    <w:qFormat/>
    <w:rPr>
      <w:rFonts w:ascii="宋体" w:hAnsi="宋体" w:cs="宋体"/>
      <w:kern w:val="2"/>
      <w:sz w:val="18"/>
      <w:szCs w:val="18"/>
    </w:rPr>
  </w:style>
  <w:style w:type="paragraph" w:customStyle="1" w:styleId="afff3">
    <w:name w:val="附录章标题"/>
    <w:basedOn w:val="aff9"/>
    <w:next w:val="af7"/>
    <w:autoRedefine/>
    <w:qFormat/>
    <w:pPr>
      <w:wordWrap w:val="0"/>
      <w:overflowPunct w:val="0"/>
      <w:autoSpaceDE w:val="0"/>
      <w:spacing w:beforeLines="100" w:afterLines="100"/>
      <w:jc w:val="both"/>
      <w:textAlignment w:val="baseline"/>
      <w:outlineLvl w:val="1"/>
    </w:pPr>
    <w:rPr>
      <w:kern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1454</Words>
  <Characters>8288</Characters>
  <Application>Microsoft Office Word</Application>
  <DocSecurity>0</DocSecurity>
  <Lines>69</Lines>
  <Paragraphs>19</Paragraphs>
  <ScaleCrop>false</ScaleCrop>
  <Company>微软中国</Company>
  <LinksUpToDate>false</LinksUpToDate>
  <CharactersWithSpaces>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木子那</dc:creator>
  <cp:lastModifiedBy>静 王</cp:lastModifiedBy>
  <cp:revision>16</cp:revision>
  <cp:lastPrinted>2024-12-10T09:19:00Z</cp:lastPrinted>
  <dcterms:created xsi:type="dcterms:W3CDTF">2024-12-10T09:18:00Z</dcterms:created>
  <dcterms:modified xsi:type="dcterms:W3CDTF">2025-01-07T01:55:00Z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804EDD6E9BAD460DAED29C6F90E4334D_13</vt:lpwstr>
  </property>
  <property fmtid="{D5CDD505-2E9C-101B-9397-08002B2CF9AE}" pid="4" name="KSOTemplateDocerSaveRecord">
    <vt:lpwstr>eyJoZGlkIjoiYWJmNTAxYTA0NTllZTU0OWY5NWY0MWNlMzBjNGU2OTYiLCJ1c2VySWQiOiIyMzU3MjExNTAifQ==</vt:lpwstr>
  </property>
</Properties>
</file>