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eastAsia="黑体"/>
          <w:sz w:val="52"/>
          <w:szCs w:val="52"/>
        </w:rPr>
      </w:pPr>
      <w:r>
        <w:rPr>
          <w:rFonts w:hint="eastAsia" w:ascii="Times New Roman" w:hAnsi="Times New Roman" w:eastAsia="黑体"/>
          <w:sz w:val="52"/>
          <w:szCs w:val="52"/>
        </w:rPr>
        <w:t>中国仪器仪表行业协会团体标准</w:t>
      </w:r>
    </w:p>
    <w:p>
      <w:pPr>
        <w:rPr>
          <w:rFonts w:ascii="Times New Roman" w:hAnsi="Times New Roman" w:eastAsia="黑体"/>
          <w:sz w:val="52"/>
          <w:szCs w:val="52"/>
        </w:rPr>
      </w:pPr>
    </w:p>
    <w:p>
      <w:pPr>
        <w:pStyle w:val="2"/>
        <w:jc w:val="center"/>
        <w:rPr>
          <w:rFonts w:ascii="Times New Roman" w:hAnsi="Times New Roman"/>
          <w:sz w:val="36"/>
          <w:szCs w:val="36"/>
        </w:rPr>
      </w:pPr>
      <w:r>
        <w:rPr>
          <w:rFonts w:hint="eastAsia" w:ascii="Times New Roman" w:hAnsi="Times New Roman"/>
          <w:sz w:val="36"/>
          <w:szCs w:val="36"/>
        </w:rPr>
        <w:t>《</w:t>
      </w:r>
      <w:r>
        <w:rPr>
          <w:rFonts w:hint="eastAsia"/>
        </w:rPr>
        <w:t>静止式电能表动态误差</w:t>
      </w:r>
      <w:bookmarkStart w:id="7" w:name="_GoBack"/>
      <w:bookmarkEnd w:id="7"/>
      <w:r>
        <w:rPr>
          <w:rFonts w:hint="eastAsia"/>
        </w:rPr>
        <w:t>同步测试方法</w:t>
      </w:r>
      <w:r>
        <w:rPr>
          <w:rFonts w:hint="eastAsia" w:ascii="Times New Roman" w:hAnsi="Times New Roman"/>
          <w:sz w:val="36"/>
          <w:szCs w:val="36"/>
        </w:rPr>
        <w:t>》</w:t>
      </w:r>
    </w:p>
    <w:p>
      <w:pPr>
        <w:rPr>
          <w:rFonts w:ascii="Times New Roman" w:hAnsi="Times New Roman"/>
          <w:sz w:val="32"/>
          <w:szCs w:val="32"/>
        </w:rPr>
      </w:pPr>
    </w:p>
    <w:p>
      <w:pPr>
        <w:rPr>
          <w:rFonts w:ascii="Times New Roman" w:hAnsi="Times New Roman"/>
          <w:sz w:val="32"/>
          <w:szCs w:val="32"/>
        </w:rPr>
      </w:pPr>
    </w:p>
    <w:p>
      <w:pPr>
        <w:rPr>
          <w:rFonts w:ascii="Times New Roman" w:hAnsi="Times New Roman"/>
          <w:sz w:val="32"/>
          <w:szCs w:val="32"/>
        </w:rPr>
      </w:pPr>
    </w:p>
    <w:p>
      <w:pPr>
        <w:pStyle w:val="2"/>
        <w:jc w:val="center"/>
        <w:rPr>
          <w:rFonts w:ascii="Times New Roman" w:hAnsi="Times New Roman"/>
          <w:sz w:val="28"/>
          <w:szCs w:val="28"/>
        </w:rPr>
      </w:pPr>
      <w:r>
        <w:rPr>
          <w:rFonts w:hint="eastAsia" w:ascii="Times New Roman" w:hAnsi="Times New Roman"/>
          <w:sz w:val="36"/>
          <w:szCs w:val="36"/>
        </w:rPr>
        <w:t>编制说明</w:t>
      </w:r>
    </w:p>
    <w:p>
      <w:pPr>
        <w:jc w:val="center"/>
        <w:rPr>
          <w:rFonts w:ascii="Times New Roman" w:hAnsi="Times New Roman"/>
          <w:sz w:val="28"/>
          <w:szCs w:val="28"/>
        </w:rPr>
      </w:pPr>
      <w:r>
        <w:rPr>
          <w:rFonts w:hint="eastAsia" w:ascii="Times New Roman" w:hAnsi="Times New Roman"/>
          <w:sz w:val="28"/>
          <w:szCs w:val="28"/>
        </w:rPr>
        <w:t>（</w:t>
      </w:r>
      <w:r>
        <w:rPr>
          <w:rFonts w:hint="eastAsia" w:ascii="Times New Roman" w:hAnsi="Times New Roman"/>
          <w:b/>
          <w:bCs/>
          <w:sz w:val="28"/>
          <w:szCs w:val="28"/>
          <w:lang w:val="en-US" w:eastAsia="zh-CN"/>
        </w:rPr>
        <w:t>征求意见</w:t>
      </w:r>
      <w:r>
        <w:rPr>
          <w:rFonts w:hint="eastAsia" w:ascii="Times New Roman" w:hAnsi="Times New Roman"/>
          <w:b/>
          <w:bCs/>
          <w:sz w:val="28"/>
          <w:szCs w:val="28"/>
        </w:rPr>
        <w:t>稿</w:t>
      </w:r>
      <w:r>
        <w:rPr>
          <w:rFonts w:hint="eastAsia" w:ascii="Times New Roman" w:hAnsi="Times New Roman"/>
          <w:sz w:val="28"/>
          <w:szCs w:val="28"/>
        </w:rPr>
        <w:t>）</w:t>
      </w:r>
    </w:p>
    <w:p>
      <w:pPr>
        <w:rPr>
          <w:rFonts w:ascii="Times New Roman" w:hAnsi="Times New Roman"/>
          <w:sz w:val="28"/>
          <w:szCs w:val="28"/>
        </w:rPr>
      </w:pPr>
      <w:r>
        <w:rPr>
          <w:rFonts w:hint="eastAsia" w:ascii="Times New Roman" w:hAnsi="Times New Roman"/>
          <w:sz w:val="28"/>
          <w:szCs w:val="28"/>
        </w:rPr>
        <w:t xml:space="preserve">                          </w:t>
      </w:r>
    </w:p>
    <w:p>
      <w:pPr>
        <w:rPr>
          <w:rFonts w:ascii="Times New Roman" w:hAnsi="Times New Roman"/>
          <w:sz w:val="28"/>
          <w:szCs w:val="28"/>
        </w:rPr>
      </w:pPr>
    </w:p>
    <w:p>
      <w:pPr>
        <w:rPr>
          <w:rFonts w:ascii="Times New Roman" w:hAnsi="Times New Roman"/>
          <w:sz w:val="28"/>
          <w:szCs w:val="28"/>
        </w:rPr>
      </w:pPr>
    </w:p>
    <w:p>
      <w:pPr>
        <w:rPr>
          <w:rFonts w:ascii="Times New Roman" w:hAnsi="Times New Roman"/>
          <w:sz w:val="28"/>
          <w:szCs w:val="28"/>
        </w:rPr>
      </w:pPr>
    </w:p>
    <w:p>
      <w:pPr>
        <w:rPr>
          <w:rFonts w:ascii="Times New Roman" w:hAnsi="Times New Roman"/>
          <w:sz w:val="28"/>
          <w:szCs w:val="28"/>
        </w:rPr>
      </w:pPr>
    </w:p>
    <w:p>
      <w:pPr>
        <w:jc w:val="center"/>
        <w:rPr>
          <w:rFonts w:ascii="Times New Roman" w:hAnsi="Times New Roman"/>
          <w:sz w:val="28"/>
          <w:szCs w:val="28"/>
        </w:rPr>
      </w:pPr>
      <w:r>
        <w:rPr>
          <w:rFonts w:hint="eastAsia" w:ascii="Times New Roman" w:hAnsi="Times New Roman"/>
          <w:sz w:val="28"/>
          <w:szCs w:val="28"/>
        </w:rPr>
        <w:t>202306</w:t>
      </w:r>
    </w:p>
    <w:p>
      <w:pPr>
        <w:pStyle w:val="18"/>
        <w:ind w:firstLine="0" w:firstLineChars="0"/>
        <w:jc w:val="center"/>
        <w:rPr>
          <w:rFonts w:ascii="黑体" w:hAnsi="黑体" w:eastAsia="黑体" w:cs="黑体"/>
          <w:sz w:val="28"/>
          <w:szCs w:val="28"/>
        </w:rPr>
      </w:pPr>
    </w:p>
    <w:p>
      <w:pPr>
        <w:pStyle w:val="18"/>
        <w:ind w:firstLine="1400" w:firstLineChars="500"/>
        <w:jc w:val="left"/>
        <w:rPr>
          <w:rFonts w:ascii="黑体" w:hAnsi="黑体" w:eastAsia="黑体" w:cs="黑体"/>
          <w:sz w:val="28"/>
          <w:szCs w:val="28"/>
        </w:rPr>
      </w:pPr>
    </w:p>
    <w:p>
      <w:pPr>
        <w:pStyle w:val="18"/>
        <w:ind w:firstLine="1400" w:firstLineChars="500"/>
        <w:jc w:val="left"/>
        <w:rPr>
          <w:rFonts w:ascii="黑体" w:hAnsi="黑体" w:eastAsia="黑体" w:cs="黑体"/>
          <w:sz w:val="28"/>
          <w:szCs w:val="28"/>
        </w:rPr>
      </w:pPr>
    </w:p>
    <w:p>
      <w:pPr>
        <w:pStyle w:val="18"/>
        <w:ind w:firstLine="1400" w:firstLineChars="500"/>
        <w:jc w:val="left"/>
        <w:rPr>
          <w:rFonts w:ascii="黑体" w:hAnsi="黑体" w:eastAsia="黑体" w:cs="黑体"/>
          <w:sz w:val="28"/>
          <w:szCs w:val="28"/>
        </w:rPr>
      </w:pPr>
    </w:p>
    <w:p>
      <w:pPr>
        <w:pStyle w:val="20"/>
        <w:spacing w:before="360" w:after="360"/>
        <w:rPr>
          <w:rFonts w:hAnsi="黑体" w:cs="黑体"/>
          <w:shd w:val="clear" w:color="auto" w:fill="FFFFFF"/>
        </w:rPr>
        <w:sectPr>
          <w:pgSz w:w="11906" w:h="16838"/>
          <w:pgMar w:top="1440" w:right="1800" w:bottom="1440" w:left="1800" w:header="851" w:footer="992" w:gutter="0"/>
          <w:cols w:space="720" w:num="1"/>
          <w:docGrid w:type="lines" w:linePitch="312" w:charSpace="0"/>
        </w:sectPr>
      </w:pPr>
    </w:p>
    <w:p>
      <w:pPr>
        <w:pStyle w:val="3"/>
        <w:rPr>
          <w:rFonts w:ascii="Times New Roman" w:hAnsi="Times New Roman"/>
          <w:sz w:val="21"/>
          <w:szCs w:val="21"/>
        </w:rPr>
      </w:pPr>
      <w:r>
        <w:rPr>
          <w:rFonts w:hint="eastAsia"/>
          <w:sz w:val="21"/>
          <w:szCs w:val="21"/>
        </w:rPr>
        <w:t>一、</w:t>
      </w:r>
      <w:r>
        <w:rPr>
          <w:rFonts w:ascii="黑体" w:hAnsi="黑体" w:eastAsia="黑体" w:cs="黑体"/>
          <w:sz w:val="21"/>
          <w:szCs w:val="21"/>
        </w:rPr>
        <w:t xml:space="preserve"> </w:t>
      </w:r>
      <w:r>
        <w:rPr>
          <w:rFonts w:hint="eastAsia" w:ascii="黑体" w:hAnsi="黑体" w:eastAsia="黑体" w:cs="黑体"/>
          <w:sz w:val="21"/>
          <w:szCs w:val="21"/>
        </w:rPr>
        <w:t>工作简况</w:t>
      </w:r>
    </w:p>
    <w:p>
      <w:pPr>
        <w:pStyle w:val="3"/>
        <w:rPr>
          <w:rFonts w:ascii="黑体" w:hAnsi="黑体" w:eastAsia="黑体" w:cs="黑体"/>
          <w:sz w:val="21"/>
          <w:szCs w:val="21"/>
        </w:rPr>
      </w:pPr>
      <w:r>
        <w:rPr>
          <w:rFonts w:ascii="黑体" w:hAnsi="黑体" w:eastAsia="黑体" w:cs="黑体"/>
          <w:sz w:val="21"/>
          <w:szCs w:val="21"/>
        </w:rPr>
        <w:t>1</w:t>
      </w:r>
      <w:r>
        <w:rPr>
          <w:rFonts w:hint="eastAsia" w:ascii="黑体" w:hAnsi="黑体" w:eastAsia="黑体" w:cs="黑体"/>
          <w:sz w:val="21"/>
          <w:szCs w:val="21"/>
        </w:rPr>
        <w:t xml:space="preserve"> </w:t>
      </w:r>
      <w:r>
        <w:rPr>
          <w:rFonts w:ascii="黑体" w:hAnsi="黑体" w:eastAsia="黑体" w:cs="黑体"/>
          <w:sz w:val="21"/>
          <w:szCs w:val="21"/>
        </w:rPr>
        <w:t xml:space="preserve"> </w:t>
      </w:r>
      <w:r>
        <w:rPr>
          <w:rFonts w:hint="eastAsia" w:ascii="黑体" w:hAnsi="黑体" w:eastAsia="黑体" w:cs="黑体"/>
          <w:sz w:val="21"/>
          <w:szCs w:val="21"/>
        </w:rPr>
        <w:t>任务来源</w:t>
      </w:r>
    </w:p>
    <w:p>
      <w:pPr>
        <w:pStyle w:val="3"/>
        <w:ind w:firstLine="420" w:firstLineChars="200"/>
        <w:rPr>
          <w:rFonts w:ascii="宋体" w:hAnsi="宋体" w:cs="宋体"/>
          <w:szCs w:val="21"/>
        </w:rPr>
      </w:pPr>
      <w:r>
        <w:rPr>
          <w:rFonts w:hint="eastAsia" w:ascii="宋体" w:hAnsi="宋体" w:cs="宋体"/>
          <w:b w:val="0"/>
          <w:bCs w:val="0"/>
          <w:kern w:val="2"/>
          <w:sz w:val="21"/>
          <w:szCs w:val="21"/>
        </w:rPr>
        <w:t>本团体标准根据中国仪器仪表行业协会关于《静止式电能表动态误差的同步测试方法》等16项团体标准立项的批复（中仪协 [2022]410号）文件立项，项目编号为：</w:t>
      </w:r>
      <w:r>
        <w:rPr>
          <w:rFonts w:hint="eastAsia" w:ascii="宋体" w:hAnsi="宋体" w:cs="宋体"/>
          <w:kern w:val="2"/>
          <w:sz w:val="21"/>
          <w:szCs w:val="21"/>
        </w:rPr>
        <w:t>T/CIMA 0094</w:t>
      </w:r>
      <w:r>
        <w:rPr>
          <w:rFonts w:hint="eastAsia" w:ascii="宋体" w:hAnsi="宋体" w:cs="宋体"/>
          <w:b w:val="0"/>
          <w:bCs w:val="0"/>
          <w:kern w:val="2"/>
          <w:sz w:val="21"/>
          <w:szCs w:val="21"/>
        </w:rPr>
        <w:t>，由中国仪器仪表行业协会电工仪器仪表分会提出，由中国仪器仪表行业协会归口。</w:t>
      </w:r>
    </w:p>
    <w:p>
      <w:pPr>
        <w:pStyle w:val="3"/>
        <w:rPr>
          <w:rFonts w:ascii="黑体" w:hAnsi="黑体" w:eastAsia="黑体" w:cs="黑体"/>
          <w:sz w:val="21"/>
          <w:szCs w:val="21"/>
        </w:rPr>
      </w:pPr>
      <w:r>
        <w:rPr>
          <w:rFonts w:hint="eastAsia" w:ascii="黑体" w:hAnsi="黑体" w:eastAsia="黑体" w:cs="黑体"/>
          <w:sz w:val="21"/>
          <w:szCs w:val="21"/>
        </w:rPr>
        <w:t xml:space="preserve">2 </w:t>
      </w:r>
      <w:r>
        <w:rPr>
          <w:rFonts w:ascii="黑体" w:hAnsi="黑体" w:eastAsia="黑体" w:cs="黑体"/>
          <w:sz w:val="21"/>
          <w:szCs w:val="21"/>
        </w:rPr>
        <w:t xml:space="preserve"> </w:t>
      </w:r>
      <w:r>
        <w:rPr>
          <w:rFonts w:hint="eastAsia" w:ascii="黑体" w:hAnsi="黑体" w:eastAsia="黑体" w:cs="黑体"/>
          <w:sz w:val="21"/>
          <w:szCs w:val="21"/>
        </w:rPr>
        <w:t>主要工作过程</w:t>
      </w:r>
    </w:p>
    <w:p>
      <w:pPr>
        <w:spacing w:line="360" w:lineRule="auto"/>
        <w:ind w:firstLine="422" w:firstLineChars="200"/>
        <w:rPr>
          <w:rFonts w:ascii="宋体" w:hAnsi="宋体" w:cs="宋体"/>
          <w:b/>
          <w:szCs w:val="21"/>
        </w:rPr>
      </w:pPr>
      <w:r>
        <w:rPr>
          <w:rFonts w:hint="eastAsia" w:ascii="宋体" w:hAnsi="宋体" w:cs="宋体"/>
          <w:b/>
          <w:szCs w:val="21"/>
        </w:rPr>
        <w:t>2022年6月：</w:t>
      </w:r>
      <w:r>
        <w:rPr>
          <w:rFonts w:hint="eastAsia" w:ascii="宋体" w:hAnsi="宋体" w:cs="宋体"/>
          <w:bCs/>
          <w:szCs w:val="21"/>
        </w:rPr>
        <w:t>中国仪器仪表行业协会电工仪器仪表分会申请立项</w:t>
      </w:r>
      <w:r>
        <w:rPr>
          <w:rFonts w:hint="eastAsia" w:ascii="宋体" w:hAnsi="宋体" w:cs="宋体"/>
          <w:b/>
          <w:szCs w:val="21"/>
        </w:rPr>
        <w:t>，并形成标准草案稿。</w:t>
      </w:r>
    </w:p>
    <w:p>
      <w:pPr>
        <w:spacing w:line="360" w:lineRule="auto"/>
        <w:ind w:firstLine="422" w:firstLineChars="200"/>
        <w:rPr>
          <w:rFonts w:ascii="宋体" w:hAnsi="宋体" w:cs="宋体"/>
          <w:szCs w:val="21"/>
        </w:rPr>
      </w:pPr>
      <w:r>
        <w:rPr>
          <w:rFonts w:hint="eastAsia" w:ascii="宋体" w:hAnsi="宋体" w:cs="宋体"/>
          <w:b/>
          <w:szCs w:val="21"/>
        </w:rPr>
        <w:t>2022年7月：</w:t>
      </w:r>
      <w:r>
        <w:rPr>
          <w:rFonts w:hint="eastAsia" w:ascii="宋体" w:hAnsi="宋体" w:cs="宋体"/>
          <w:szCs w:val="21"/>
        </w:rPr>
        <w:t>中国仪器仪表行业协会下达了关于《静止式电能表动态误差的同步测试方法》等16项团体标准立项的批复，由国网冀北电力有限公司计量中心牵头，组织</w:t>
      </w:r>
      <w:r>
        <w:rPr>
          <w:rFonts w:hint="eastAsia" w:ascii="黑体" w:hAnsi="黑体" w:eastAsia="黑体" w:cs="黑体"/>
          <w:b/>
          <w:szCs w:val="21"/>
        </w:rPr>
        <w:t>成立标准起草工作组</w:t>
      </w:r>
      <w:r>
        <w:rPr>
          <w:rFonts w:hint="eastAsia" w:ascii="宋体" w:hAnsi="宋体" w:cs="宋体"/>
          <w:szCs w:val="21"/>
        </w:rPr>
        <w:t>。</w:t>
      </w:r>
    </w:p>
    <w:p>
      <w:pPr>
        <w:spacing w:line="360" w:lineRule="auto"/>
        <w:ind w:firstLine="422" w:firstLineChars="200"/>
        <w:rPr>
          <w:rFonts w:ascii="宋体" w:hAnsi="宋体" w:cs="宋体"/>
          <w:szCs w:val="21"/>
        </w:rPr>
      </w:pPr>
      <w:r>
        <w:rPr>
          <w:rFonts w:hint="eastAsia" w:ascii="宋体" w:hAnsi="宋体" w:cs="宋体"/>
          <w:b/>
          <w:szCs w:val="21"/>
        </w:rPr>
        <w:t>2022年8月-2022年9月：</w:t>
      </w:r>
      <w:r>
        <w:rPr>
          <w:rFonts w:hint="eastAsia" w:ascii="宋体" w:hAnsi="宋体" w:cs="宋体"/>
          <w:szCs w:val="21"/>
        </w:rPr>
        <w:t>启动团体标准制定工作。起草组严格按照《国家标准管理办法》、GB/T 1.1—2020《标准化工作导则 第1部分：标准化文件的结构和起草规则编写》等文件的要求进行标准制定并形成了</w:t>
      </w:r>
      <w:r>
        <w:rPr>
          <w:rFonts w:hint="eastAsia" w:ascii="黑体" w:hAnsi="黑体" w:eastAsia="黑体" w:cs="黑体"/>
          <w:b/>
          <w:szCs w:val="21"/>
        </w:rPr>
        <w:t>工作组讨论稿</w:t>
      </w:r>
      <w:r>
        <w:rPr>
          <w:rFonts w:hint="eastAsia" w:ascii="宋体" w:hAnsi="宋体" w:cs="宋体"/>
          <w:szCs w:val="21"/>
        </w:rPr>
        <w:t>。</w:t>
      </w:r>
    </w:p>
    <w:p>
      <w:pPr>
        <w:spacing w:line="360" w:lineRule="auto"/>
        <w:ind w:firstLine="413" w:firstLineChars="196"/>
        <w:rPr>
          <w:rFonts w:ascii="宋体" w:hAnsi="宋体" w:cs="宋体"/>
          <w:szCs w:val="21"/>
        </w:rPr>
      </w:pPr>
      <w:bookmarkStart w:id="0" w:name="_Hlk17657671"/>
      <w:r>
        <w:rPr>
          <w:rFonts w:hint="eastAsia" w:ascii="宋体" w:hAnsi="宋体" w:cs="宋体"/>
          <w:b/>
          <w:szCs w:val="21"/>
        </w:rPr>
        <w:t>2022年9月-10月</w:t>
      </w:r>
      <w:bookmarkEnd w:id="0"/>
      <w:r>
        <w:rPr>
          <w:rFonts w:hint="eastAsia" w:ascii="宋体" w:hAnsi="宋体" w:cs="宋体"/>
          <w:szCs w:val="21"/>
        </w:rPr>
        <w:t>：工作组讨论稿在标准编制工作组内部第一次征求意见，共回收意见10条，主笔单位按照回收意见对工作组讨论稿进行了修改完善。</w:t>
      </w:r>
    </w:p>
    <w:p>
      <w:pPr>
        <w:spacing w:line="360" w:lineRule="auto"/>
        <w:ind w:firstLine="413" w:firstLineChars="196"/>
        <w:rPr>
          <w:rFonts w:ascii="宋体" w:hAnsi="宋体" w:cs="宋体"/>
          <w:szCs w:val="21"/>
        </w:rPr>
      </w:pPr>
      <w:r>
        <w:rPr>
          <w:rFonts w:hint="eastAsia" w:ascii="宋体" w:hAnsi="宋体" w:cs="宋体"/>
          <w:b/>
          <w:szCs w:val="21"/>
        </w:rPr>
        <w:t>2022年11月5日：</w:t>
      </w:r>
      <w:r>
        <w:rPr>
          <w:rFonts w:hint="eastAsia" w:ascii="宋体" w:hAnsi="宋体" w:cs="宋体"/>
          <w:szCs w:val="21"/>
        </w:rPr>
        <w:t>在杭州召开起草第一次工作组会议，工作组对工作组讨论稿的标准化对象、结构进行了认真、细致的逐条讨论，并对主要技术内容达成了一致意见，分配标准符合性验证工作，并对试验项目进行分工，形成会议纪要。</w:t>
      </w:r>
    </w:p>
    <w:p>
      <w:pPr>
        <w:spacing w:line="360" w:lineRule="auto"/>
        <w:ind w:firstLine="413" w:firstLineChars="196"/>
        <w:rPr>
          <w:rFonts w:ascii="宋体" w:hAnsi="宋体" w:cs="宋体"/>
          <w:szCs w:val="21"/>
        </w:rPr>
      </w:pPr>
      <w:r>
        <w:rPr>
          <w:rFonts w:hint="eastAsia" w:ascii="宋体" w:hAnsi="宋体" w:cs="宋体"/>
          <w:b/>
          <w:bCs/>
          <w:szCs w:val="21"/>
        </w:rPr>
        <w:t>2022年11月-2023年4月：工作组讨论稿</w:t>
      </w:r>
      <w:r>
        <w:rPr>
          <w:rFonts w:hint="eastAsia" w:ascii="宋体" w:hAnsi="宋体" w:cs="宋体"/>
          <w:szCs w:val="21"/>
        </w:rPr>
        <w:t>在标准编制工作组内部第二次征求意见，共回收意见29条，主笔单位按照回收意见对工作组讨论稿进行了修改完善。</w:t>
      </w:r>
    </w:p>
    <w:p>
      <w:pPr>
        <w:spacing w:line="360" w:lineRule="auto"/>
        <w:ind w:firstLine="413" w:firstLineChars="196"/>
        <w:rPr>
          <w:rFonts w:ascii="宋体" w:hAnsi="宋体" w:cs="宋体"/>
          <w:szCs w:val="21"/>
        </w:rPr>
      </w:pPr>
      <w:r>
        <w:rPr>
          <w:rFonts w:hint="eastAsia" w:ascii="宋体" w:hAnsi="宋体" w:cs="宋体"/>
          <w:b/>
          <w:bCs/>
          <w:szCs w:val="21"/>
        </w:rPr>
        <w:t>2023年4月21日：</w:t>
      </w:r>
      <w:r>
        <w:rPr>
          <w:rFonts w:hint="eastAsia" w:ascii="宋体" w:hAnsi="宋体" w:cs="宋体"/>
          <w:szCs w:val="21"/>
        </w:rPr>
        <w:t>在慈溪召开起草工作组第二次会议，对标准工作组讨论稿以及所征求的意见内容进行了仔细讨论，形成会议纪要。</w:t>
      </w:r>
    </w:p>
    <w:p>
      <w:pPr>
        <w:spacing w:line="360" w:lineRule="auto"/>
        <w:ind w:firstLine="413" w:firstLineChars="196"/>
        <w:rPr>
          <w:rFonts w:ascii="宋体" w:hAnsi="宋体" w:cs="宋体"/>
          <w:szCs w:val="21"/>
          <w:highlight w:val="none"/>
        </w:rPr>
      </w:pPr>
      <w:r>
        <w:rPr>
          <w:rFonts w:hint="eastAsia" w:ascii="宋体" w:hAnsi="宋体" w:cs="宋体"/>
          <w:b/>
          <w:bCs/>
          <w:szCs w:val="21"/>
          <w:highlight w:val="none"/>
        </w:rPr>
        <w:t>2023年</w:t>
      </w:r>
      <w:r>
        <w:rPr>
          <w:rFonts w:hint="eastAsia" w:ascii="宋体" w:hAnsi="宋体" w:cs="宋体"/>
          <w:b/>
          <w:bCs/>
          <w:szCs w:val="21"/>
          <w:highlight w:val="none"/>
          <w:lang w:val="en-US" w:eastAsia="zh-CN"/>
        </w:rPr>
        <w:t>5</w:t>
      </w:r>
      <w:r>
        <w:rPr>
          <w:rFonts w:hint="eastAsia" w:ascii="宋体" w:hAnsi="宋体" w:cs="宋体"/>
          <w:b/>
          <w:bCs/>
          <w:szCs w:val="21"/>
          <w:highlight w:val="none"/>
        </w:rPr>
        <w:t>月-</w:t>
      </w:r>
      <w:r>
        <w:rPr>
          <w:rFonts w:hint="eastAsia" w:ascii="宋体" w:hAnsi="宋体" w:cs="宋体"/>
          <w:b/>
          <w:bCs/>
          <w:szCs w:val="21"/>
          <w:highlight w:val="none"/>
          <w:lang w:val="en-US" w:eastAsia="zh-CN"/>
        </w:rPr>
        <w:t>6</w:t>
      </w:r>
      <w:r>
        <w:rPr>
          <w:rFonts w:hint="eastAsia" w:ascii="宋体" w:hAnsi="宋体" w:cs="宋体"/>
          <w:b/>
          <w:bCs/>
          <w:szCs w:val="21"/>
          <w:highlight w:val="none"/>
        </w:rPr>
        <w:t>月</w:t>
      </w:r>
      <w:r>
        <w:rPr>
          <w:rFonts w:hint="eastAsia" w:ascii="宋体" w:hAnsi="宋体" w:cs="宋体"/>
          <w:szCs w:val="21"/>
          <w:highlight w:val="none"/>
        </w:rPr>
        <w:t>，工作组讨论稿在标准编制工作组内部第三次征求意见，共回收意见45条，主笔单位按照回收意见对工作组讨论稿进行了修改完善。会后</w:t>
      </w:r>
      <w:r>
        <w:rPr>
          <w:rFonts w:hint="eastAsia" w:ascii="黑体" w:hAnsi="黑体" w:eastAsia="黑体" w:cs="黑体"/>
          <w:b/>
          <w:szCs w:val="21"/>
          <w:highlight w:val="none"/>
        </w:rPr>
        <w:t>形成征求意见稿</w:t>
      </w:r>
      <w:r>
        <w:rPr>
          <w:rFonts w:hint="eastAsia" w:ascii="宋体" w:hAnsi="宋体" w:cs="宋体"/>
          <w:szCs w:val="21"/>
          <w:highlight w:val="none"/>
        </w:rPr>
        <w:t>。</w:t>
      </w:r>
    </w:p>
    <w:p>
      <w:pPr>
        <w:spacing w:line="360" w:lineRule="auto"/>
        <w:ind w:firstLine="413" w:firstLineChars="196"/>
        <w:rPr>
          <w:rFonts w:ascii="宋体" w:hAnsi="宋体" w:cs="宋体"/>
          <w:szCs w:val="21"/>
          <w:highlight w:val="none"/>
        </w:rPr>
      </w:pPr>
      <w:r>
        <w:rPr>
          <w:rFonts w:hint="eastAsia" w:ascii="宋体" w:hAnsi="宋体" w:cs="宋体"/>
          <w:b/>
          <w:szCs w:val="21"/>
          <w:highlight w:val="none"/>
        </w:rPr>
        <w:t>2023年</w:t>
      </w:r>
      <w:r>
        <w:rPr>
          <w:rFonts w:hint="eastAsia" w:ascii="宋体" w:hAnsi="宋体" w:cs="宋体"/>
          <w:b/>
          <w:szCs w:val="21"/>
          <w:highlight w:val="none"/>
          <w:lang w:val="en-US" w:eastAsia="zh-CN"/>
        </w:rPr>
        <w:t>6</w:t>
      </w:r>
      <w:r>
        <w:rPr>
          <w:rFonts w:hint="eastAsia" w:ascii="宋体" w:hAnsi="宋体" w:cs="宋体"/>
          <w:b/>
          <w:szCs w:val="21"/>
          <w:highlight w:val="none"/>
        </w:rPr>
        <w:t>月</w:t>
      </w:r>
      <w:r>
        <w:rPr>
          <w:rFonts w:hint="eastAsia" w:ascii="宋体" w:hAnsi="宋体" w:cs="宋体"/>
          <w:b/>
          <w:szCs w:val="21"/>
          <w:highlight w:val="none"/>
          <w:lang w:val="en-US" w:eastAsia="zh-CN"/>
        </w:rPr>
        <w:t>30</w:t>
      </w:r>
      <w:r>
        <w:rPr>
          <w:rFonts w:hint="eastAsia" w:ascii="宋体" w:hAnsi="宋体" w:cs="宋体"/>
          <w:b/>
          <w:szCs w:val="21"/>
          <w:highlight w:val="none"/>
        </w:rPr>
        <w:t>日，</w:t>
      </w:r>
      <w:r>
        <w:rPr>
          <w:rFonts w:hint="eastAsia" w:ascii="宋体" w:hAnsi="宋体" w:cs="宋体"/>
          <w:b/>
          <w:bCs/>
          <w:szCs w:val="21"/>
          <w:highlight w:val="none"/>
        </w:rPr>
        <w:t>广泛征求意见</w:t>
      </w:r>
      <w:r>
        <w:rPr>
          <w:rFonts w:hint="eastAsia" w:ascii="宋体" w:hAnsi="宋体" w:cs="宋体"/>
          <w:bCs/>
          <w:szCs w:val="21"/>
          <w:highlight w:val="none"/>
        </w:rPr>
        <w:t>，</w:t>
      </w:r>
      <w:r>
        <w:rPr>
          <w:rFonts w:hint="eastAsia" w:ascii="宋体" w:hAnsi="宋体" w:cs="宋体"/>
          <w:szCs w:val="21"/>
          <w:highlight w:val="none"/>
        </w:rPr>
        <w:t>征求意见稿在网站、微信公众号等平台公示，征集行业意见。</w:t>
      </w:r>
    </w:p>
    <w:p>
      <w:pPr>
        <w:spacing w:line="360" w:lineRule="auto"/>
        <w:rPr>
          <w:rFonts w:ascii="黑体" w:hAnsi="黑体" w:eastAsia="黑体" w:cs="黑体"/>
          <w:b/>
          <w:bCs/>
          <w:kern w:val="0"/>
          <w:szCs w:val="21"/>
          <w:lang w:val="zh-CN"/>
        </w:rPr>
      </w:pPr>
      <w:r>
        <w:rPr>
          <w:rFonts w:hint="eastAsia" w:ascii="黑体" w:hAnsi="黑体" w:eastAsia="黑体" w:cs="黑体"/>
          <w:b/>
          <w:bCs/>
          <w:kern w:val="0"/>
          <w:szCs w:val="21"/>
        </w:rPr>
        <w:t xml:space="preserve">3  </w:t>
      </w:r>
      <w:r>
        <w:rPr>
          <w:rFonts w:hint="eastAsia" w:ascii="黑体" w:hAnsi="黑体" w:eastAsia="黑体" w:cs="黑体"/>
          <w:b/>
          <w:bCs/>
          <w:kern w:val="0"/>
          <w:szCs w:val="21"/>
          <w:lang w:val="zh-CN"/>
        </w:rPr>
        <w:t>主要参加单位和工作组成员及其所做的工作</w:t>
      </w:r>
    </w:p>
    <w:p>
      <w:pPr>
        <w:spacing w:line="360" w:lineRule="auto"/>
        <w:ind w:firstLine="420" w:firstLineChars="200"/>
        <w:rPr>
          <w:rFonts w:hAnsi="宋体" w:cs="宋体"/>
          <w:szCs w:val="21"/>
        </w:rPr>
      </w:pPr>
      <w:r>
        <w:rPr>
          <w:rFonts w:hint="eastAsia" w:ascii="Times New Roman" w:hAnsi="Times New Roman"/>
          <w:szCs w:val="21"/>
        </w:rPr>
        <w:t>标准</w:t>
      </w:r>
      <w:r>
        <w:rPr>
          <w:rFonts w:ascii="Times New Roman" w:hAnsi="Times New Roman"/>
          <w:szCs w:val="21"/>
        </w:rPr>
        <w:t>牵头起草单位是</w:t>
      </w:r>
      <w:r>
        <w:rPr>
          <w:rFonts w:hint="eastAsia" w:hAnsi="宋体" w:cs="宋体"/>
          <w:szCs w:val="21"/>
        </w:rPr>
        <w:t>国网冀北电力有限公司计量中心</w:t>
      </w:r>
      <w:r>
        <w:rPr>
          <w:rFonts w:hint="eastAsia" w:ascii="宋体" w:hAnsi="宋体" w:cs="宋体"/>
          <w:szCs w:val="21"/>
        </w:rPr>
        <w:t>，</w:t>
      </w:r>
      <w:r>
        <w:rPr>
          <w:rFonts w:ascii="Times New Roman" w:hAnsi="Times New Roman"/>
          <w:szCs w:val="21"/>
        </w:rPr>
        <w:t>主要起草单位</w:t>
      </w:r>
      <w:r>
        <w:rPr>
          <w:rFonts w:hint="eastAsia" w:ascii="Times New Roman" w:hAnsi="Times New Roman"/>
          <w:szCs w:val="21"/>
        </w:rPr>
        <w:t>有</w:t>
      </w:r>
      <w:r>
        <w:rPr>
          <w:rFonts w:hint="eastAsia" w:hAnsi="宋体" w:cs="宋体"/>
          <w:szCs w:val="21"/>
        </w:rPr>
        <w:t>哈尔滨电工仪表研究所有限公司、北京化工大学。</w:t>
      </w:r>
    </w:p>
    <w:p>
      <w:pPr>
        <w:pStyle w:val="18"/>
        <w:spacing w:line="360" w:lineRule="auto"/>
        <w:rPr>
          <w:rFonts w:ascii="Times New Roman"/>
          <w:szCs w:val="21"/>
        </w:rPr>
      </w:pPr>
      <w:r>
        <w:rPr>
          <w:rFonts w:ascii="Times New Roman"/>
          <w:szCs w:val="21"/>
        </w:rPr>
        <w:t>本标准主要起草人：</w:t>
      </w:r>
      <w:r>
        <w:rPr>
          <w:rFonts w:hint="eastAsia" w:ascii="Times New Roman"/>
          <w:szCs w:val="21"/>
        </w:rPr>
        <w:t>袁瑞铭、王学伟、李文文</w:t>
      </w:r>
    </w:p>
    <w:p>
      <w:pPr>
        <w:pStyle w:val="18"/>
        <w:spacing w:line="360" w:lineRule="auto"/>
        <w:rPr>
          <w:rFonts w:ascii="Times New Roman"/>
          <w:szCs w:val="21"/>
        </w:rPr>
      </w:pPr>
      <w:r>
        <w:rPr>
          <w:rFonts w:hint="eastAsia" w:hAnsi="宋体" w:cs="宋体"/>
          <w:szCs w:val="21"/>
        </w:rPr>
        <w:t>国网冀北电力有限公司计量中心</w:t>
      </w:r>
      <w:r>
        <w:rPr>
          <w:rFonts w:ascii="Times New Roman"/>
          <w:szCs w:val="21"/>
        </w:rPr>
        <w:t>作为执笔单位负责了本标准的工作组讨论稿和征求意见稿的起草、修改工作。</w:t>
      </w:r>
    </w:p>
    <w:p>
      <w:pPr>
        <w:spacing w:line="360" w:lineRule="auto"/>
        <w:ind w:firstLine="420" w:firstLineChars="200"/>
        <w:rPr>
          <w:color w:val="FF0000"/>
          <w:sz w:val="24"/>
          <w:szCs w:val="24"/>
        </w:rPr>
      </w:pPr>
      <w:r>
        <w:rPr>
          <w:rFonts w:hint="eastAsia" w:ascii="Times New Roman" w:hAnsi="Times New Roman"/>
          <w:szCs w:val="21"/>
        </w:rPr>
        <w:t>王学伟、李文文为本标准的主笔人，负责标准的编写，</w:t>
      </w:r>
      <w:r>
        <w:rPr>
          <w:rFonts w:hint="eastAsia" w:hAnsi="宋体" w:cs="宋体"/>
          <w:szCs w:val="21"/>
        </w:rPr>
        <w:t>袁瑞铭</w:t>
      </w:r>
      <w:r>
        <w:rPr>
          <w:rFonts w:hint="eastAsia" w:ascii="Times New Roman" w:hAnsi="Times New Roman"/>
          <w:szCs w:val="21"/>
        </w:rPr>
        <w:t xml:space="preserve">为本标准起草工作组的组长，刘献成、何珊等为本标准起草工作组的组员，负责标准的编写进程和组织协调工作； </w:t>
      </w:r>
      <w:r>
        <w:rPr>
          <w:rFonts w:hint="eastAsia" w:ascii="Times New Roman" w:hAnsi="Times New Roman"/>
          <w:szCs w:val="21"/>
          <w:lang w:val="en-US" w:eastAsia="zh-CN"/>
        </w:rPr>
        <w:t>杨红卫</w:t>
      </w:r>
      <w:r>
        <w:rPr>
          <w:rFonts w:hint="eastAsia" w:ascii="Times New Roman" w:hAnsi="Times New Roman"/>
          <w:szCs w:val="21"/>
        </w:rPr>
        <w:t>等工作组成员为本标准的编写和修改工作给与大量帮助。</w:t>
      </w:r>
    </w:p>
    <w:p>
      <w:pPr>
        <w:pStyle w:val="3"/>
        <w:rPr>
          <w:rFonts w:ascii="黑体" w:hAnsi="黑体" w:eastAsia="黑体" w:cs="黑体"/>
          <w:sz w:val="21"/>
          <w:szCs w:val="21"/>
        </w:rPr>
      </w:pPr>
      <w:r>
        <w:rPr>
          <w:rFonts w:hint="eastAsia" w:ascii="黑体" w:hAnsi="黑体" w:eastAsia="黑体" w:cs="黑体"/>
          <w:sz w:val="21"/>
          <w:szCs w:val="21"/>
        </w:rPr>
        <w:t>二</w:t>
      </w:r>
      <w:r>
        <w:rPr>
          <w:rFonts w:hint="eastAsia"/>
          <w:sz w:val="21"/>
          <w:szCs w:val="21"/>
        </w:rPr>
        <w:t>、</w:t>
      </w:r>
      <w:r>
        <w:rPr>
          <w:rFonts w:hint="eastAsia" w:ascii="黑体" w:hAnsi="黑体" w:eastAsia="黑体" w:cs="黑体"/>
          <w:sz w:val="21"/>
          <w:szCs w:val="21"/>
        </w:rPr>
        <w:t xml:space="preserve">  标准编制原则和主要技术内容确定的依据</w:t>
      </w:r>
    </w:p>
    <w:p>
      <w:pPr>
        <w:pStyle w:val="4"/>
        <w:rPr>
          <w:rFonts w:ascii="黑体" w:hAnsi="黑体" w:eastAsia="黑体" w:cs="黑体"/>
          <w:sz w:val="21"/>
          <w:szCs w:val="21"/>
        </w:rPr>
      </w:pPr>
      <w:r>
        <w:rPr>
          <w:rFonts w:ascii="黑体" w:hAnsi="黑体" w:eastAsia="黑体" w:cs="黑体"/>
          <w:sz w:val="21"/>
          <w:szCs w:val="21"/>
        </w:rPr>
        <w:t xml:space="preserve">1 </w:t>
      </w:r>
      <w:r>
        <w:rPr>
          <w:rFonts w:hint="eastAsia" w:ascii="黑体" w:hAnsi="黑体" w:eastAsia="黑体" w:cs="黑体"/>
          <w:sz w:val="21"/>
          <w:szCs w:val="21"/>
        </w:rPr>
        <w:t xml:space="preserve"> 主要阐述标准制定或修订过程遵循的基本原则</w:t>
      </w:r>
    </w:p>
    <w:p>
      <w:pPr>
        <w:spacing w:line="360" w:lineRule="auto"/>
        <w:ind w:firstLine="525" w:firstLineChars="250"/>
        <w:rPr>
          <w:rFonts w:ascii="宋体" w:hAnsi="宋体" w:cs="宋体"/>
          <w:szCs w:val="21"/>
        </w:rPr>
      </w:pPr>
      <w:r>
        <w:rPr>
          <w:rFonts w:hint="eastAsia" w:ascii="宋体" w:hAnsi="宋体" w:cs="宋体"/>
          <w:szCs w:val="21"/>
        </w:rPr>
        <w:t>本文件按照GB/T 1.1—2020《标准化工作导则  第1部分：标准化文件的结构和起草规则》的规定起草。</w:t>
      </w:r>
    </w:p>
    <w:p>
      <w:pPr>
        <w:pStyle w:val="4"/>
        <w:rPr>
          <w:rFonts w:ascii="黑体" w:hAnsi="黑体" w:eastAsia="黑体" w:cs="黑体"/>
          <w:sz w:val="21"/>
          <w:szCs w:val="21"/>
        </w:rPr>
      </w:pPr>
      <w:r>
        <w:rPr>
          <w:rFonts w:ascii="黑体" w:hAnsi="黑体" w:eastAsia="黑体" w:cs="黑体"/>
          <w:sz w:val="21"/>
          <w:szCs w:val="21"/>
        </w:rPr>
        <w:t>2</w:t>
      </w:r>
      <w:r>
        <w:rPr>
          <w:rFonts w:hint="eastAsia" w:ascii="黑体" w:hAnsi="黑体" w:eastAsia="黑体" w:cs="黑体"/>
          <w:sz w:val="21"/>
          <w:szCs w:val="21"/>
        </w:rPr>
        <w:t xml:space="preserve">  标准主要内容中范围、</w:t>
      </w:r>
      <w:bookmarkStart w:id="1" w:name="_Toc136445057"/>
      <w:r>
        <w:rPr>
          <w:rFonts w:hint="eastAsia" w:ascii="黑体" w:hAnsi="黑体" w:eastAsia="黑体" w:cs="黑体"/>
          <w:sz w:val="21"/>
          <w:szCs w:val="21"/>
        </w:rPr>
        <w:t>动态测试电能参比信号同步要求</w:t>
      </w:r>
      <w:bookmarkEnd w:id="1"/>
    </w:p>
    <w:p>
      <w:pPr>
        <w:spacing w:line="360" w:lineRule="auto"/>
        <w:rPr>
          <w:rFonts w:ascii="黑体" w:hAnsi="黑体" w:eastAsia="黑体" w:cs="黑体"/>
          <w:b/>
          <w:sz w:val="24"/>
          <w:szCs w:val="24"/>
        </w:rPr>
      </w:pPr>
      <w:r>
        <w:rPr>
          <w:rFonts w:ascii="黑体" w:hAnsi="黑体" w:eastAsia="黑体" w:cs="黑体"/>
          <w:b/>
          <w:szCs w:val="21"/>
        </w:rPr>
        <w:t xml:space="preserve">2.1 </w:t>
      </w:r>
      <w:r>
        <w:rPr>
          <w:rFonts w:hint="eastAsia" w:ascii="黑体" w:hAnsi="黑体" w:eastAsia="黑体" w:cs="黑体"/>
          <w:b/>
          <w:szCs w:val="21"/>
        </w:rPr>
        <w:t xml:space="preserve"> 范围</w:t>
      </w:r>
    </w:p>
    <w:p>
      <w:pPr>
        <w:spacing w:line="360" w:lineRule="auto"/>
        <w:ind w:firstLine="420" w:firstLineChars="200"/>
        <w:rPr>
          <w:rFonts w:ascii="宋体" w:hAnsi="宋体" w:cs="宋体"/>
          <w:szCs w:val="21"/>
        </w:rPr>
      </w:pPr>
      <w:r>
        <w:rPr>
          <w:rFonts w:hint="eastAsia" w:ascii="宋体" w:hAnsi="宋体" w:cs="宋体"/>
          <w:szCs w:val="21"/>
        </w:rPr>
        <w:t>本文件规定了动态负荷条件下，单相、三相静止式电能表动态误差测试的试验条件、动态测试电能参比信号模型、动态测试电能参比信号同步要求、电能表动态误差同步测试方法、动态误差测试的试验点和动态误差测试流程。</w:t>
      </w:r>
    </w:p>
    <w:p>
      <w:pPr>
        <w:spacing w:line="360" w:lineRule="auto"/>
        <w:ind w:firstLine="420" w:firstLineChars="200"/>
        <w:rPr>
          <w:rFonts w:ascii="宋体" w:hAnsi="宋体" w:cs="宋体"/>
          <w:szCs w:val="21"/>
          <w:highlight w:val="yellow"/>
        </w:rPr>
      </w:pPr>
      <w:r>
        <w:rPr>
          <w:rFonts w:hint="eastAsia" w:ascii="宋体" w:hAnsi="宋体" w:cs="宋体"/>
          <w:szCs w:val="21"/>
        </w:rPr>
        <w:t>本文件适用于在动态负荷条件下单相、三相静止式电能表的电能计量误差测试，新制造静止式电能表的设计、制造和验收。对单相、三相标准电能表的动态误差测试，可参考使用。</w:t>
      </w:r>
    </w:p>
    <w:p>
      <w:pPr>
        <w:spacing w:line="360" w:lineRule="auto"/>
        <w:rPr>
          <w:rFonts w:ascii="黑体" w:hAnsi="黑体" w:eastAsia="黑体" w:cs="黑体"/>
          <w:b/>
          <w:color w:val="FF0000"/>
          <w:szCs w:val="21"/>
        </w:rPr>
      </w:pPr>
      <w:r>
        <w:rPr>
          <w:rFonts w:ascii="黑体" w:hAnsi="黑体" w:eastAsia="黑体" w:cs="黑体"/>
          <w:b/>
          <w:szCs w:val="21"/>
        </w:rPr>
        <w:t>2.</w:t>
      </w:r>
      <w:r>
        <w:rPr>
          <w:rFonts w:hint="eastAsia" w:ascii="黑体" w:hAnsi="黑体" w:eastAsia="黑体" w:cs="黑体"/>
          <w:b/>
          <w:szCs w:val="21"/>
        </w:rPr>
        <w:t>2技术要求</w:t>
      </w:r>
    </w:p>
    <w:p>
      <w:pPr>
        <w:spacing w:line="360" w:lineRule="auto"/>
        <w:rPr>
          <w:rFonts w:ascii="黑体" w:hAnsi="黑体" w:eastAsia="黑体" w:cs="黑体"/>
          <w:b/>
          <w:szCs w:val="21"/>
        </w:rPr>
      </w:pPr>
      <w:bookmarkStart w:id="2" w:name="_Toc136445058"/>
      <w:r>
        <w:rPr>
          <w:rFonts w:hint="eastAsia" w:ascii="黑体" w:hAnsi="黑体" w:eastAsia="黑体" w:cs="黑体"/>
          <w:b/>
          <w:szCs w:val="21"/>
        </w:rPr>
        <w:t>2.2.1 通断周期的同步要求</w:t>
      </w:r>
      <w:bookmarkEnd w:id="2"/>
    </w:p>
    <w:p>
      <w:pPr>
        <w:spacing w:line="360" w:lineRule="auto"/>
        <w:ind w:firstLine="420" w:firstLineChars="200"/>
        <w:rPr>
          <w:rFonts w:ascii="宋体" w:hAnsi="宋体" w:cs="宋体"/>
          <w:szCs w:val="21"/>
        </w:rPr>
      </w:pPr>
      <w:r>
        <w:rPr>
          <w:rFonts w:hint="eastAsia" w:ascii="宋体" w:hAnsi="宋体" w:cs="宋体"/>
          <w:szCs w:val="21"/>
        </w:rPr>
        <w:t>动态测试电流参比信号的通断周期应满足如下同步要求：</w:t>
      </w:r>
    </w:p>
    <w:p>
      <w:pPr>
        <w:spacing w:line="360" w:lineRule="auto"/>
        <w:ind w:firstLine="420" w:firstLineChars="200"/>
        <w:rPr>
          <w:rFonts w:ascii="宋体" w:hAnsi="宋体" w:cs="宋体"/>
          <w:szCs w:val="21"/>
        </w:rPr>
      </w:pPr>
      <w:r>
        <w:rPr>
          <w:rFonts w:hint="eastAsia" w:ascii="宋体" w:hAnsi="宋体" w:cs="宋体"/>
          <w:szCs w:val="21"/>
        </w:rPr>
        <w:t>（1）动态测试电流参比信号导通时间（ton）、或关断时间（toff）应为稳态电流信号周期的整数倍；</w:t>
      </w:r>
    </w:p>
    <w:p>
      <w:pPr>
        <w:spacing w:line="360" w:lineRule="auto"/>
        <w:ind w:firstLine="420" w:firstLineChars="200"/>
        <w:rPr>
          <w:rFonts w:ascii="宋体" w:hAnsi="宋体" w:cs="宋体"/>
          <w:szCs w:val="21"/>
        </w:rPr>
      </w:pPr>
      <w:r>
        <w:rPr>
          <w:rFonts w:hint="eastAsia" w:ascii="宋体" w:hAnsi="宋体" w:cs="宋体"/>
          <w:szCs w:val="21"/>
        </w:rPr>
        <w:t>（2）动态测试电流参比信号导通时间的起动时刻和结束时刻，关断时间的起始时刻和结束时刻，应与稳态电流信号的过零时刻同步，过零时刻同步偏差应小于0.5ms。</w:t>
      </w:r>
    </w:p>
    <w:p>
      <w:pPr>
        <w:spacing w:line="360" w:lineRule="auto"/>
        <w:rPr>
          <w:rFonts w:ascii="黑体" w:hAnsi="黑体" w:eastAsia="黑体" w:cs="黑体"/>
          <w:b/>
          <w:szCs w:val="21"/>
        </w:rPr>
      </w:pPr>
      <w:bookmarkStart w:id="3" w:name="_Toc136445059"/>
      <w:r>
        <w:rPr>
          <w:rFonts w:hint="eastAsia" w:ascii="黑体" w:hAnsi="黑体" w:eastAsia="黑体" w:cs="黑体"/>
          <w:b/>
          <w:szCs w:val="21"/>
        </w:rPr>
        <w:t>2.2.2 循环周期的同步要求</w:t>
      </w:r>
      <w:bookmarkEnd w:id="3"/>
    </w:p>
    <w:p>
      <w:pPr>
        <w:spacing w:line="360" w:lineRule="auto"/>
        <w:ind w:firstLine="420" w:firstLineChars="200"/>
        <w:rPr>
          <w:rFonts w:ascii="宋体" w:hAnsi="宋体" w:cs="宋体"/>
          <w:szCs w:val="21"/>
        </w:rPr>
      </w:pPr>
      <w:r>
        <w:rPr>
          <w:rFonts w:hint="eastAsia" w:ascii="宋体" w:hAnsi="宋体" w:cs="宋体"/>
          <w:szCs w:val="21"/>
        </w:rPr>
        <w:t>动态测试电流参比信号循环周期应满足如下同步要求：</w:t>
      </w:r>
    </w:p>
    <w:p>
      <w:pPr>
        <w:spacing w:line="360" w:lineRule="auto"/>
        <w:ind w:firstLine="420" w:firstLineChars="200"/>
        <w:rPr>
          <w:rFonts w:ascii="宋体" w:hAnsi="宋体" w:cs="宋体"/>
          <w:szCs w:val="21"/>
        </w:rPr>
      </w:pPr>
      <w:r>
        <w:rPr>
          <w:rFonts w:hint="eastAsia" w:ascii="宋体" w:hAnsi="宋体" w:cs="宋体"/>
          <w:szCs w:val="21"/>
        </w:rPr>
        <w:t>（1）测试中应采用闸门控制信号或者脉冲启停控制信号控制动态测试电流持续时间，对OOK开关键控调制测试信号，控制信号时间间隔</w:t>
      </w:r>
      <w:r>
        <w:rPr>
          <w:rFonts w:hint="eastAsia" w:ascii="宋体" w:hAnsi="宋体" w:cs="宋体"/>
          <w:szCs w:val="21"/>
        </w:rPr>
        <w:object>
          <v:shape id="_x0000_i1025" o:spt="75" type="#_x0000_t75" style="height:12.9pt;width:14.05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rFonts w:hint="eastAsia" w:ascii="宋体" w:hAnsi="宋体" w:cs="宋体"/>
          <w:szCs w:val="21"/>
        </w:rPr>
        <w:t>应为OOK动态电流信号循环周期（ton+toff）的整数倍，对m序列或CS序列调制测试信号，控制信号时间间隔</w:t>
      </w:r>
      <w:r>
        <w:rPr>
          <w:rFonts w:hint="eastAsia" w:ascii="宋体" w:hAnsi="宋体" w:cs="宋体"/>
          <w:szCs w:val="21"/>
        </w:rPr>
        <w:object>
          <v:shape id="_x0000_i1026" o:spt="75" type="#_x0000_t75" style="height:12.9pt;width:14.05pt;" o:ole="t" filled="f" o:preferrelative="t" stroked="f" coordsize="21600,21600">
            <v:path/>
            <v:fill on="f" focussize="0,0"/>
            <v:stroke on="f" joinstyle="miter"/>
            <v:imagedata r:id="rId7" o:title=""/>
            <o:lock v:ext="edit" aspectratio="t"/>
            <w10:wrap type="none"/>
            <w10:anchorlock/>
          </v:shape>
          <o:OLEObject Type="Embed" ProgID="Equation.DSMT4" ShapeID="_x0000_i1026" DrawAspect="Content" ObjectID="_1468075726" r:id="rId8">
            <o:LockedField>false</o:LockedField>
          </o:OLEObject>
        </w:object>
      </w:r>
      <w:r>
        <w:rPr>
          <w:rFonts w:hint="eastAsia" w:ascii="宋体" w:hAnsi="宋体" w:cs="宋体"/>
          <w:szCs w:val="21"/>
        </w:rPr>
        <w:t>应为该动态电流信号循环周期（tm或tcs）的整数倍，见图3的循环周期同步时序；</w:t>
      </w:r>
    </w:p>
    <w:p>
      <w:pPr>
        <w:spacing w:line="360" w:lineRule="auto"/>
        <w:ind w:firstLine="420" w:firstLineChars="200"/>
        <w:rPr>
          <w:rFonts w:ascii="宋体" w:hAnsi="宋体" w:cs="宋体"/>
          <w:szCs w:val="21"/>
        </w:rPr>
      </w:pPr>
      <w:r>
        <w:rPr>
          <w:rFonts w:hint="eastAsia" w:ascii="宋体" w:hAnsi="宋体" w:cs="宋体"/>
          <w:szCs w:val="21"/>
        </w:rPr>
        <w:t>（2）动态测试电流参比信号的启动时刻与停止时刻应与测试控制信号的启动时刻</w:t>
      </w:r>
      <w:r>
        <w:rPr>
          <w:rFonts w:hint="eastAsia" w:ascii="宋体" w:hAnsi="宋体" w:cs="宋体"/>
          <w:szCs w:val="21"/>
        </w:rPr>
        <w:object>
          <v:shape id="_x0000_i1027" o:spt="75" type="#_x0000_t75" style="height:15.15pt;width:8.1pt;" o:ole="t" filled="f" o:preferrelative="t" stroked="f" coordsize="21600,21600">
            <v:path/>
            <v:fill on="f" focussize="0,0"/>
            <v:stroke on="f" joinstyle="miter"/>
            <v:imagedata r:id="rId10" o:title=""/>
            <o:lock v:ext="edit" aspectratio="t"/>
            <w10:wrap type="none"/>
            <w10:anchorlock/>
          </v:shape>
          <o:OLEObject Type="Embed" ProgID="Equation.DSMT4" ShapeID="_x0000_i1027" DrawAspect="Content" ObjectID="_1468075727" r:id="rId9">
            <o:LockedField>false</o:LockedField>
          </o:OLEObject>
        </w:object>
      </w:r>
      <w:r>
        <w:rPr>
          <w:rFonts w:hint="eastAsia" w:ascii="宋体" w:hAnsi="宋体" w:cs="宋体"/>
          <w:szCs w:val="21"/>
        </w:rPr>
        <w:t>与停止时刻</w:t>
      </w:r>
      <w:r>
        <w:rPr>
          <w:rFonts w:hint="eastAsia" w:ascii="宋体" w:hAnsi="宋体" w:cs="宋体"/>
          <w:szCs w:val="21"/>
        </w:rPr>
        <w:object>
          <v:shape id="_x0000_i1028" o:spt="75" type="#_x0000_t75" style="height:15.15pt;width:9.6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1">
            <o:LockedField>false</o:LockedField>
          </o:OLEObject>
        </w:object>
      </w:r>
      <w:r>
        <w:rPr>
          <w:rFonts w:hint="eastAsia" w:ascii="宋体" w:hAnsi="宋体" w:cs="宋体"/>
          <w:szCs w:val="21"/>
        </w:rPr>
        <w:t>同步，同步时间偏差应小于5ms。</w:t>
      </w:r>
    </w:p>
    <w:p>
      <w:pPr>
        <w:spacing w:line="360" w:lineRule="auto"/>
        <w:rPr>
          <w:rFonts w:ascii="黑体" w:hAnsi="黑体" w:eastAsia="黑体" w:cs="黑体"/>
          <w:b/>
          <w:szCs w:val="21"/>
        </w:rPr>
      </w:pPr>
      <w:bookmarkStart w:id="4" w:name="_Toc136445060"/>
      <w:bookmarkStart w:id="5" w:name="_Toc133239634"/>
      <w:r>
        <w:rPr>
          <w:rFonts w:hint="eastAsia" w:ascii="黑体" w:hAnsi="黑体" w:eastAsia="黑体" w:cs="黑体"/>
          <w:b/>
          <w:szCs w:val="21"/>
        </w:rPr>
        <w:t>2.2.3 循环重复的同步要求</w:t>
      </w:r>
      <w:bookmarkEnd w:id="4"/>
      <w:bookmarkEnd w:id="5"/>
    </w:p>
    <w:p>
      <w:pPr>
        <w:spacing w:line="360" w:lineRule="auto"/>
        <w:ind w:firstLine="420" w:firstLineChars="200"/>
        <w:rPr>
          <w:rFonts w:ascii="宋体" w:hAnsi="宋体" w:cs="宋体"/>
          <w:szCs w:val="21"/>
        </w:rPr>
      </w:pPr>
      <w:r>
        <w:rPr>
          <w:rFonts w:hint="eastAsia" w:ascii="宋体" w:hAnsi="宋体" w:cs="宋体"/>
          <w:szCs w:val="21"/>
        </w:rPr>
        <w:t>电能表动态误差测试过程中，测试电压参比信号为稳态信号，动态测试电流参比信号应采用动态测试电流参比信号归零循环模式：</w:t>
      </w:r>
    </w:p>
    <w:p>
      <w:pPr>
        <w:spacing w:line="360" w:lineRule="auto"/>
        <w:ind w:firstLine="420" w:firstLineChars="200"/>
        <w:rPr>
          <w:rFonts w:ascii="宋体" w:hAnsi="宋体" w:cs="宋体"/>
          <w:szCs w:val="21"/>
        </w:rPr>
      </w:pPr>
      <w:bookmarkStart w:id="6" w:name="_Hlk135831544"/>
      <w:r>
        <w:rPr>
          <w:rFonts w:hint="eastAsia" w:ascii="宋体" w:hAnsi="宋体" w:cs="宋体"/>
          <w:szCs w:val="21"/>
        </w:rPr>
        <w:t>（1）在测试启动控制信号启动时刻</w:t>
      </w:r>
      <w:r>
        <w:rPr>
          <w:rFonts w:hint="eastAsia" w:ascii="宋体" w:hAnsi="宋体" w:cs="宋体"/>
          <w:szCs w:val="21"/>
        </w:rPr>
        <w:object>
          <v:shape id="_x0000_i1029" o:spt="75" type="#_x0000_t75" style="height:15.15pt;width:8.1pt;" o:ole="t" filled="f" o:preferrelative="t" stroked="f" coordsize="21600,21600">
            <v:path/>
            <v:fill on="f" focussize="0,0"/>
            <v:stroke on="f" joinstyle="miter"/>
            <v:imagedata r:id="rId10" o:title=""/>
            <o:lock v:ext="edit" aspectratio="t"/>
            <w10:wrap type="none"/>
            <w10:anchorlock/>
          </v:shape>
          <o:OLEObject Type="Embed" ProgID="Equation.DSMT4" ShapeID="_x0000_i1029" DrawAspect="Content" ObjectID="_1468075729" r:id="rId13">
            <o:LockedField>false</o:LockedField>
          </o:OLEObject>
        </w:object>
      </w:r>
      <w:r>
        <w:rPr>
          <w:rFonts w:hint="eastAsia" w:ascii="宋体" w:hAnsi="宋体" w:cs="宋体"/>
          <w:szCs w:val="21"/>
        </w:rPr>
        <w:t>之前，送入被试电能表的动态测试电流为0；在测试控制信号启动时刻</w:t>
      </w:r>
      <w:r>
        <w:rPr>
          <w:rFonts w:hint="eastAsia" w:ascii="宋体" w:hAnsi="宋体" w:cs="宋体"/>
          <w:szCs w:val="21"/>
        </w:rPr>
        <w:object>
          <v:shape id="_x0000_i1030" o:spt="75" type="#_x0000_t75" style="height:15.15pt;width:24.75pt;" o:ole="t" filled="f" o:preferrelative="t" stroked="f" coordsize="21600,21600">
            <v:path/>
            <v:fill on="f" focussize="0,0"/>
            <v:stroke on="f" joinstyle="miter"/>
            <v:imagedata r:id="rId15" o:title=""/>
            <o:lock v:ext="edit" aspectratio="t"/>
            <w10:wrap type="none"/>
            <w10:anchorlock/>
          </v:shape>
          <o:OLEObject Type="Embed" ProgID="Equation.DSMT4" ShapeID="_x0000_i1030" DrawAspect="Content" ObjectID="_1468075730" r:id="rId14">
            <o:LockedField>false</o:LockedField>
          </o:OLEObject>
        </w:object>
      </w:r>
      <w:r>
        <w:rPr>
          <w:rFonts w:hint="eastAsia" w:ascii="宋体" w:hAnsi="宋体" w:cs="宋体"/>
          <w:szCs w:val="21"/>
        </w:rPr>
        <w:t>开始，在时间间隔</w:t>
      </w:r>
      <w:r>
        <w:rPr>
          <w:rFonts w:hint="eastAsia" w:ascii="宋体" w:hAnsi="宋体" w:cs="宋体"/>
          <w:szCs w:val="21"/>
        </w:rPr>
        <w:object>
          <v:shape id="_x0000_i1031" o:spt="75" type="#_x0000_t75" style="height:12.55pt;width:12.55pt;" o:ole="t" filled="f" o:preferrelative="t" stroked="f" coordsize="21600,21600">
            <v:path/>
            <v:fill on="f" focussize="0,0"/>
            <v:stroke on="f" joinstyle="miter"/>
            <v:imagedata r:id="rId17" o:title=""/>
            <o:lock v:ext="edit" aspectratio="t"/>
            <w10:wrap type="none"/>
            <w10:anchorlock/>
          </v:shape>
          <o:OLEObject Type="Embed" ProgID="Equation.DSMT4" ShapeID="_x0000_i1031" DrawAspect="Content" ObjectID="_1468075731" r:id="rId16">
            <o:LockedField>false</o:LockedField>
          </o:OLEObject>
        </w:object>
      </w:r>
      <w:r>
        <w:rPr>
          <w:rFonts w:hint="eastAsia" w:ascii="宋体" w:hAnsi="宋体" w:cs="宋体"/>
          <w:szCs w:val="21"/>
        </w:rPr>
        <w:t>内，动态测试电流参比信号送入被试电能表，被试电能表开始累计测量动态电能；电流参比信号重复</w:t>
      </w:r>
      <w:r>
        <w:rPr>
          <w:rFonts w:hint="eastAsia" w:ascii="宋体" w:hAnsi="宋体" w:cs="宋体"/>
          <w:szCs w:val="21"/>
        </w:rPr>
        <w:object>
          <v:shape id="_x0000_i1032" o:spt="75" type="#_x0000_t75" style="height:12.55pt;width:12.55pt;" o:ole="t" filled="f" o:preferrelative="t" stroked="f" coordsize="21600,21600">
            <v:path/>
            <v:fill on="f" focussize="0,0"/>
            <v:stroke on="f" joinstyle="miter"/>
            <v:imagedata r:id="rId19" o:title=""/>
            <o:lock v:ext="edit" aspectratio="t"/>
            <w10:wrap type="none"/>
            <w10:anchorlock/>
          </v:shape>
          <o:OLEObject Type="Embed" ProgID="Equation.DSMT4" ShapeID="_x0000_i1032" DrawAspect="Content" ObjectID="_1468075732" r:id="rId18">
            <o:LockedField>false</o:LockedField>
          </o:OLEObject>
        </w:object>
      </w:r>
      <w:r>
        <w:rPr>
          <w:rFonts w:hint="eastAsia" w:ascii="宋体" w:hAnsi="宋体" w:cs="宋体"/>
          <w:szCs w:val="21"/>
        </w:rPr>
        <w:t>次循环；</w:t>
      </w:r>
    </w:p>
    <w:bookmarkEnd w:id="6"/>
    <w:p>
      <w:pPr>
        <w:spacing w:line="360" w:lineRule="auto"/>
        <w:ind w:firstLine="420" w:firstLineChars="200"/>
        <w:rPr>
          <w:rFonts w:ascii="宋体" w:hAnsi="宋体" w:cs="宋体"/>
          <w:szCs w:val="21"/>
        </w:rPr>
      </w:pPr>
      <w:r>
        <w:rPr>
          <w:rFonts w:hint="eastAsia" w:ascii="宋体" w:hAnsi="宋体" w:cs="宋体"/>
          <w:szCs w:val="21"/>
        </w:rPr>
        <w:t>（2）在测试控制信号停止时刻</w:t>
      </w:r>
      <w:r>
        <w:rPr>
          <w:rFonts w:hint="eastAsia" w:ascii="宋体" w:hAnsi="宋体" w:cs="宋体"/>
          <w:szCs w:val="21"/>
        </w:rPr>
        <w:object>
          <v:shape id="_x0000_i1033" o:spt="75" type="#_x0000_t75" style="height:15.15pt;width:9.6pt;" o:ole="t" filled="f" o:preferrelative="t" stroked="f" coordsize="21600,21600">
            <v:path/>
            <v:fill on="f" focussize="0,0"/>
            <v:stroke on="f" joinstyle="miter"/>
            <v:imagedata r:id="rId12" o:title=""/>
            <o:lock v:ext="edit" aspectratio="t"/>
            <w10:wrap type="none"/>
            <w10:anchorlock/>
          </v:shape>
          <o:OLEObject Type="Embed" ProgID="Equation.DSMT4" ShapeID="_x0000_i1033" DrawAspect="Content" ObjectID="_1468075733" r:id="rId20">
            <o:LockedField>false</o:LockedField>
          </o:OLEObject>
        </w:object>
      </w:r>
      <w:r>
        <w:rPr>
          <w:rFonts w:hint="eastAsia" w:ascii="宋体" w:hAnsi="宋体" w:cs="宋体"/>
          <w:szCs w:val="21"/>
        </w:rPr>
        <w:t>之后，送入被试电能表的动态测试电流参比信号变为0，电流为0持续时间大于5s，动态测试电流参比信号停止送入被试电能表，完成电能表动态误差的1次测试，并在</w:t>
      </w:r>
      <w:r>
        <w:rPr>
          <w:rFonts w:hint="eastAsia" w:ascii="宋体" w:hAnsi="宋体" w:cs="宋体"/>
          <w:szCs w:val="21"/>
        </w:rPr>
        <w:object>
          <v:shape id="_x0000_i1034" o:spt="75" type="#_x0000_t75" style="height:15.15pt;width:9.6pt;" o:ole="t" filled="f" o:preferrelative="t" stroked="f" coordsize="21600,21600">
            <v:path/>
            <v:fill on="f" focussize="0,0"/>
            <v:stroke on="f" joinstyle="miter"/>
            <v:imagedata r:id="rId22" o:title=""/>
            <o:lock v:ext="edit" aspectratio="t"/>
            <w10:wrap type="none"/>
            <w10:anchorlock/>
          </v:shape>
          <o:OLEObject Type="Embed" ProgID="Equation.DSMT4" ShapeID="_x0000_i1034" DrawAspect="Content" ObjectID="_1468075734" r:id="rId21">
            <o:LockedField>false</o:LockedField>
          </o:OLEObject>
        </w:object>
      </w:r>
      <w:r>
        <w:rPr>
          <w:rFonts w:hint="eastAsia" w:ascii="宋体" w:hAnsi="宋体" w:cs="宋体"/>
          <w:szCs w:val="21"/>
        </w:rPr>
        <w:t>时刻之后循环重复。</w:t>
      </w:r>
    </w:p>
    <w:p>
      <w:pPr>
        <w:pStyle w:val="3"/>
        <w:rPr>
          <w:rFonts w:ascii="黑体" w:hAnsi="黑体" w:eastAsia="黑体" w:cs="黑体"/>
          <w:b w:val="0"/>
          <w:bCs w:val="0"/>
          <w:color w:val="FF0000"/>
          <w:sz w:val="21"/>
          <w:szCs w:val="21"/>
        </w:rPr>
      </w:pPr>
      <w:r>
        <w:rPr>
          <w:rFonts w:hint="eastAsia" w:ascii="黑体" w:hAnsi="黑体" w:eastAsia="黑体" w:cs="黑体"/>
          <w:sz w:val="21"/>
          <w:szCs w:val="21"/>
        </w:rPr>
        <w:t>三、 标准涉及专利情况</w:t>
      </w:r>
    </w:p>
    <w:p>
      <w:pPr>
        <w:spacing w:line="360" w:lineRule="auto"/>
        <w:ind w:firstLine="420" w:firstLineChars="200"/>
        <w:rPr>
          <w:sz w:val="24"/>
          <w:szCs w:val="24"/>
        </w:rPr>
      </w:pPr>
      <w:r>
        <w:rPr>
          <w:rFonts w:hint="eastAsia"/>
          <w:szCs w:val="21"/>
        </w:rPr>
        <w:t>本文件不涉及任何专利问题</w:t>
      </w:r>
      <w:r>
        <w:rPr>
          <w:sz w:val="24"/>
          <w:szCs w:val="24"/>
        </w:rPr>
        <w:t>。</w:t>
      </w:r>
    </w:p>
    <w:p>
      <w:pPr>
        <w:pStyle w:val="3"/>
        <w:rPr>
          <w:rFonts w:ascii="黑体" w:hAnsi="黑体" w:eastAsia="黑体" w:cs="黑体"/>
          <w:sz w:val="21"/>
          <w:szCs w:val="21"/>
        </w:rPr>
      </w:pPr>
      <w:r>
        <w:rPr>
          <w:rFonts w:hint="eastAsia" w:ascii="黑体" w:hAnsi="黑体" w:eastAsia="黑体" w:cs="黑体"/>
          <w:sz w:val="21"/>
          <w:szCs w:val="21"/>
        </w:rPr>
        <w:t>四、 预期达到的社会效益、对产业发展的作用</w:t>
      </w:r>
    </w:p>
    <w:p>
      <w:pPr>
        <w:spacing w:line="360" w:lineRule="auto"/>
        <w:ind w:firstLine="420" w:firstLineChars="200"/>
        <w:rPr>
          <w:rFonts w:ascii="宋体" w:hAnsi="宋体" w:cs="宋体"/>
          <w:szCs w:val="21"/>
        </w:rPr>
      </w:pPr>
      <w:r>
        <w:rPr>
          <w:rFonts w:hint="eastAsia" w:ascii="宋体" w:hAnsi="宋体" w:cs="宋体"/>
          <w:szCs w:val="21"/>
        </w:rPr>
        <w:t>电能表作为国家法定计量器具和贸易结算专用仪表，已广泛应用于智能电网各环节，其误差与性能将直接影响电能交易的公平公正。新能源高比例接入使得电网中电源的输出功率呈现出非稳态特性，电弧炉、高铁牵引负荷和轧钢机等动态负荷的瞬时电流呈现随机动态变化特性，导致智能电能表电能计量出现较大超差，不能实现合理计费。</w:t>
      </w:r>
    </w:p>
    <w:p>
      <w:pPr>
        <w:spacing w:line="360" w:lineRule="auto"/>
        <w:ind w:firstLine="420" w:firstLineChars="200"/>
        <w:rPr>
          <w:rFonts w:ascii="宋体" w:hAnsi="宋体" w:cs="宋体"/>
          <w:szCs w:val="21"/>
        </w:rPr>
      </w:pPr>
      <w:r>
        <w:rPr>
          <w:rFonts w:hint="eastAsia" w:ascii="宋体" w:hAnsi="宋体" w:cs="宋体"/>
          <w:szCs w:val="21"/>
        </w:rPr>
        <w:t>目前，虽然已经提出了电能表动态误差测试方法，但是，这些方法都是电能表动态误差的测试时间与动态测试信号循环周期非同步的方法，导致电能表动态误差的测试准确度提升遇到了瓶颈，不能满足较高测量准确度要求的场合。因此，有必要提出静止式电能表动态误差的同步测试方法，提高动态误差测试的准确度。</w:t>
      </w:r>
    </w:p>
    <w:p>
      <w:pPr>
        <w:spacing w:line="360" w:lineRule="auto"/>
        <w:ind w:firstLine="420" w:firstLineChars="200"/>
        <w:rPr>
          <w:rFonts w:ascii="Times New Roman" w:hAnsi="Times New Roman"/>
        </w:rPr>
      </w:pPr>
      <w:r>
        <w:rPr>
          <w:rFonts w:hint="eastAsia" w:ascii="Times New Roman" w:hAnsi="Times New Roman"/>
        </w:rPr>
        <w:t>本标准的编制将规范智能电能表动态误差测试方法，对发展电能表动态功率条件下准确计量关键技术和建立电能动态条件下量值传递体系具有非常重要的意义，并且在该领域国内外范围内，有助于我国引领电能表测试技术整体水平的提升；准确合理的电能计量将保证电能供需双方的经济利益，对电能的公平交易和电力市场的规范化发展有着非常重要的实际意义；此外还可以带动电能表制造业与相关设备制造业的不断创新升级。</w:t>
      </w:r>
    </w:p>
    <w:p>
      <w:pPr>
        <w:pStyle w:val="3"/>
        <w:rPr>
          <w:rFonts w:ascii="黑体" w:hAnsi="黑体" w:eastAsia="黑体" w:cs="黑体"/>
          <w:sz w:val="21"/>
          <w:szCs w:val="21"/>
        </w:rPr>
      </w:pPr>
      <w:r>
        <w:rPr>
          <w:rFonts w:hint="eastAsia" w:ascii="黑体" w:hAnsi="黑体" w:eastAsia="黑体" w:cs="黑体"/>
          <w:sz w:val="21"/>
          <w:szCs w:val="21"/>
        </w:rPr>
        <w:t>五、与国际、国外同类标准水平的对比情况</w:t>
      </w:r>
    </w:p>
    <w:p>
      <w:pPr>
        <w:spacing w:line="360" w:lineRule="auto"/>
        <w:ind w:firstLine="420" w:firstLineChars="200"/>
        <w:rPr>
          <w:rFonts w:ascii="Times New Roman" w:hAnsi="Times New Roman"/>
          <w:lang w:eastAsia="zh-Hans"/>
        </w:rPr>
      </w:pPr>
      <w:r>
        <w:rPr>
          <w:rFonts w:hint="eastAsia" w:ascii="Times New Roman" w:hAnsi="Times New Roman"/>
          <w:lang w:eastAsia="zh-Hans"/>
        </w:rPr>
        <w:t>MID-2014/32/EU欧洲仪器指令规定需要在实际工况条件下对电能表误差进行测试。</w:t>
      </w:r>
    </w:p>
    <w:p>
      <w:pPr>
        <w:spacing w:line="360" w:lineRule="auto"/>
        <w:ind w:firstLine="420" w:firstLineChars="200"/>
        <w:rPr>
          <w:rFonts w:ascii="Times New Roman" w:hAnsi="Times New Roman"/>
          <w:lang w:eastAsia="zh-Hans"/>
        </w:rPr>
      </w:pPr>
      <w:r>
        <w:rPr>
          <w:rFonts w:hint="eastAsia" w:ascii="Times New Roman" w:hAnsi="Times New Roman"/>
          <w:lang w:eastAsia="zh-Hans"/>
        </w:rPr>
        <w:t>2020年版IEC 62052、62053系列标准更新了谐波影响试验，包括方波、尖顶波、高次谐波等波形畸变，增加了负载电流快速变化影响试验，其中方波、尖顶波来源于国际建议OIML R46，还包括了负载电流快速变化的通断控制试验和通/断电流时间（周期）250/25,250/250,500/500三个试验点。</w:t>
      </w:r>
    </w:p>
    <w:p>
      <w:pPr>
        <w:spacing w:line="360" w:lineRule="auto"/>
        <w:ind w:firstLine="420" w:firstLineChars="200"/>
        <w:rPr>
          <w:rFonts w:ascii="Times New Roman" w:hAnsi="Times New Roman"/>
          <w:lang w:eastAsia="zh-Hans"/>
        </w:rPr>
      </w:pPr>
      <w:r>
        <w:rPr>
          <w:rFonts w:hint="eastAsia" w:ascii="Times New Roman" w:hAnsi="Times New Roman"/>
          <w:lang w:eastAsia="zh-Hans"/>
        </w:rPr>
        <w:t>根据IEC 62052-11: 2020的附件J，上述三种试验点描述了负载电流变化典型用例包括：调温加热器、空调、电弧焊系统，IEC 62052标准的三个通/电断流时间测试。</w:t>
      </w:r>
    </w:p>
    <w:p>
      <w:pPr>
        <w:spacing w:line="360" w:lineRule="auto"/>
        <w:ind w:firstLine="420" w:firstLineChars="200"/>
        <w:rPr>
          <w:rFonts w:ascii="Times New Roman" w:hAnsi="Times New Roman"/>
          <w:lang w:eastAsia="zh-Hans"/>
        </w:rPr>
      </w:pPr>
      <w:r>
        <w:rPr>
          <w:rFonts w:hint="eastAsia" w:ascii="Times New Roman" w:hAnsi="Times New Roman"/>
          <w:lang w:eastAsia="zh-Hans"/>
        </w:rPr>
        <w:t>目前已颁布的国内外标准提出的电能表动态误差的测试方法与测试试验点均未很好地覆盖多种动态场景。本标准能够全面覆盖大规模电力电子设备应用及新能源高比例接入等多种动态场景。</w:t>
      </w:r>
    </w:p>
    <w:p>
      <w:pPr>
        <w:pStyle w:val="3"/>
        <w:rPr>
          <w:rFonts w:ascii="黑体" w:hAnsi="黑体" w:eastAsia="黑体" w:cs="黑体"/>
          <w:sz w:val="21"/>
          <w:szCs w:val="21"/>
        </w:rPr>
      </w:pPr>
      <w:r>
        <w:rPr>
          <w:rFonts w:hint="eastAsia" w:ascii="黑体" w:hAnsi="黑体" w:eastAsia="黑体" w:cs="黑体"/>
          <w:sz w:val="21"/>
          <w:szCs w:val="21"/>
        </w:rPr>
        <w:t>六、在标准体系中的位置，与现行相关法律、法规、规章及相关标准，特别是强制性标准的协调性</w:t>
      </w:r>
    </w:p>
    <w:p>
      <w:pPr>
        <w:spacing w:line="360" w:lineRule="auto"/>
        <w:ind w:firstLine="420" w:firstLineChars="200"/>
        <w:rPr>
          <w:rFonts w:ascii="Times New Roman" w:hAnsi="Times New Roman"/>
          <w:szCs w:val="21"/>
        </w:rPr>
      </w:pPr>
      <w:r>
        <w:rPr>
          <w:rFonts w:hint="eastAsia"/>
        </w:rPr>
        <w:t>与相关技术领域的国家现行法律、法规和政策保持一致。</w:t>
      </w:r>
      <w:r>
        <w:rPr>
          <w:rFonts w:ascii="Times New Roman" w:hAnsi="Times New Roman"/>
          <w:szCs w:val="21"/>
        </w:rPr>
        <w:t>与现有标准、制定中的标准没有矛盾。</w:t>
      </w:r>
    </w:p>
    <w:p>
      <w:pPr>
        <w:pStyle w:val="3"/>
        <w:rPr>
          <w:rFonts w:ascii="黑体" w:hAnsi="黑体" w:eastAsia="黑体" w:cs="黑体"/>
          <w:sz w:val="21"/>
          <w:szCs w:val="21"/>
        </w:rPr>
      </w:pPr>
      <w:r>
        <w:rPr>
          <w:rFonts w:hint="eastAsia" w:ascii="黑体" w:hAnsi="黑体" w:eastAsia="黑体" w:cs="黑体"/>
          <w:sz w:val="21"/>
          <w:szCs w:val="21"/>
        </w:rPr>
        <w:t>七、标准性质的重大分歧意见的处理经过和依据</w:t>
      </w:r>
    </w:p>
    <w:p>
      <w:pPr>
        <w:spacing w:line="360" w:lineRule="auto"/>
        <w:ind w:firstLine="420" w:firstLineChars="200"/>
        <w:rPr>
          <w:rFonts w:ascii="Times New Roman" w:hAnsi="Times New Roman"/>
          <w:lang w:val="zh-CN"/>
        </w:rPr>
      </w:pPr>
      <w:r>
        <w:rPr>
          <w:rFonts w:ascii="Times New Roman" w:hAnsi="Times New Roman"/>
          <w:lang w:val="zh-CN"/>
        </w:rPr>
        <w:t>无。</w:t>
      </w:r>
    </w:p>
    <w:p>
      <w:pPr>
        <w:pStyle w:val="3"/>
        <w:rPr>
          <w:rFonts w:ascii="黑体" w:hAnsi="黑体" w:eastAsia="黑体" w:cs="黑体"/>
          <w:sz w:val="21"/>
          <w:szCs w:val="21"/>
        </w:rPr>
      </w:pPr>
      <w:r>
        <w:rPr>
          <w:rFonts w:hint="eastAsia" w:ascii="黑体" w:hAnsi="黑体" w:eastAsia="黑体" w:cs="黑体"/>
          <w:sz w:val="21"/>
          <w:szCs w:val="21"/>
        </w:rPr>
        <w:t>八、标准性质的建议说明</w:t>
      </w:r>
    </w:p>
    <w:p>
      <w:pPr>
        <w:spacing w:line="400" w:lineRule="exact"/>
        <w:ind w:firstLine="420" w:firstLineChars="200"/>
        <w:rPr>
          <w:rFonts w:ascii="Times New Roman" w:hAnsi="Times New Roman"/>
          <w:szCs w:val="21"/>
        </w:rPr>
      </w:pPr>
      <w:r>
        <w:rPr>
          <w:rFonts w:hint="eastAsia" w:ascii="Times New Roman" w:hAnsi="Times New Roman"/>
          <w:szCs w:val="21"/>
        </w:rPr>
        <w:t>本标准为推荐性标准，旨在为此类设备的</w:t>
      </w:r>
      <w:r>
        <w:rPr>
          <w:rFonts w:ascii="Times New Roman" w:hAnsi="Times New Roman"/>
        </w:rPr>
        <w:t>设计、制造、检验和验收</w:t>
      </w:r>
      <w:r>
        <w:rPr>
          <w:rFonts w:hint="eastAsia" w:ascii="Times New Roman" w:hAnsi="Times New Roman"/>
          <w:szCs w:val="21"/>
        </w:rPr>
        <w:t>提供规范性依据，但不强制执行。</w:t>
      </w:r>
    </w:p>
    <w:p>
      <w:pPr>
        <w:spacing w:line="400" w:lineRule="exact"/>
        <w:rPr>
          <w:rFonts w:ascii="黑体" w:hAnsi="黑体" w:eastAsia="黑体" w:cs="黑体"/>
          <w:b/>
          <w:bCs/>
          <w:szCs w:val="21"/>
        </w:rPr>
      </w:pPr>
      <w:r>
        <w:rPr>
          <w:rFonts w:hint="eastAsia" w:ascii="黑体" w:hAnsi="黑体" w:eastAsia="黑体" w:cs="黑体"/>
          <w:szCs w:val="21"/>
        </w:rPr>
        <w:t>九、</w:t>
      </w:r>
      <w:r>
        <w:rPr>
          <w:rFonts w:hint="eastAsia" w:ascii="黑体" w:hAnsi="黑体" w:eastAsia="黑体" w:cs="黑体"/>
          <w:b/>
          <w:bCs/>
          <w:szCs w:val="21"/>
        </w:rPr>
        <w:t>贯彻标准的要求和措施建议（包括组织措施、技术措施、过渡办法、实施日期等）</w:t>
      </w:r>
    </w:p>
    <w:p>
      <w:pPr>
        <w:spacing w:line="600" w:lineRule="exact"/>
        <w:rPr>
          <w:rFonts w:ascii="Times New Roman" w:hAnsi="Times New Roman"/>
          <w:lang w:val="zh-CN"/>
        </w:rPr>
      </w:pPr>
      <w:r>
        <w:rPr>
          <w:rFonts w:hint="eastAsia" w:ascii="Times New Roman" w:hAnsi="Times New Roman"/>
        </w:rPr>
        <w:t xml:space="preserve">    </w:t>
      </w:r>
      <w:r>
        <w:rPr>
          <w:rFonts w:ascii="Times New Roman" w:hAnsi="Times New Roman"/>
          <w:lang w:val="zh-CN"/>
        </w:rPr>
        <w:t>无。</w:t>
      </w:r>
    </w:p>
    <w:p>
      <w:pPr>
        <w:spacing w:line="600" w:lineRule="exact"/>
        <w:rPr>
          <w:rFonts w:ascii="黑体" w:hAnsi="黑体" w:eastAsia="黑体" w:cs="黑体"/>
          <w:b/>
          <w:bCs/>
          <w:szCs w:val="21"/>
        </w:rPr>
      </w:pPr>
      <w:r>
        <w:rPr>
          <w:rFonts w:hint="eastAsia" w:ascii="黑体" w:hAnsi="黑体" w:eastAsia="黑体" w:cs="黑体"/>
          <w:b/>
          <w:bCs/>
          <w:szCs w:val="21"/>
        </w:rPr>
        <w:t>十</w:t>
      </w:r>
      <w:r>
        <w:rPr>
          <w:rFonts w:hint="eastAsia" w:ascii="黑体" w:hAnsi="黑体" w:eastAsia="黑体" w:cs="黑体"/>
          <w:szCs w:val="21"/>
        </w:rPr>
        <w:t>、</w:t>
      </w:r>
      <w:r>
        <w:rPr>
          <w:rFonts w:hint="eastAsia" w:ascii="黑体" w:hAnsi="黑体" w:eastAsia="黑体" w:cs="黑体"/>
          <w:b/>
          <w:bCs/>
          <w:szCs w:val="21"/>
        </w:rPr>
        <w:t>废止现行相关标准的建议</w:t>
      </w:r>
    </w:p>
    <w:p>
      <w:pPr>
        <w:spacing w:line="600" w:lineRule="exact"/>
        <w:rPr>
          <w:rFonts w:ascii="黑体" w:hAnsi="黑体" w:eastAsia="黑体" w:cs="黑体"/>
          <w:b/>
          <w:bCs/>
          <w:szCs w:val="21"/>
        </w:rPr>
      </w:pPr>
      <w:r>
        <w:rPr>
          <w:rFonts w:hint="eastAsia" w:ascii="宋体" w:hAnsi="宋体" w:cs="宋体"/>
          <w:szCs w:val="21"/>
        </w:rPr>
        <w:t xml:space="preserve">    无。</w:t>
      </w:r>
    </w:p>
    <w:p>
      <w:pPr>
        <w:spacing w:line="400" w:lineRule="exact"/>
        <w:ind w:left="1054" w:hanging="1054" w:hangingChars="500"/>
        <w:rPr>
          <w:rFonts w:ascii="黑体" w:hAnsi="黑体" w:eastAsia="黑体" w:cs="黑体"/>
          <w:b/>
          <w:bCs/>
          <w:kern w:val="0"/>
          <w:szCs w:val="21"/>
          <w:lang w:val="zh-CN"/>
        </w:rPr>
      </w:pPr>
      <w:r>
        <w:rPr>
          <w:rFonts w:hint="eastAsia" w:ascii="黑体" w:hAnsi="黑体" w:eastAsia="黑体" w:cs="黑体"/>
          <w:b/>
          <w:bCs/>
          <w:szCs w:val="21"/>
        </w:rPr>
        <w:t>十一</w:t>
      </w:r>
      <w:r>
        <w:rPr>
          <w:rFonts w:hint="eastAsia" w:ascii="黑体" w:hAnsi="黑体" w:eastAsia="黑体" w:cs="黑体"/>
          <w:szCs w:val="21"/>
        </w:rPr>
        <w:t>、</w:t>
      </w:r>
      <w:r>
        <w:rPr>
          <w:rFonts w:hint="eastAsia" w:ascii="黑体" w:hAnsi="黑体" w:eastAsia="黑体" w:cs="黑体"/>
          <w:b/>
          <w:bCs/>
          <w:kern w:val="0"/>
          <w:szCs w:val="21"/>
          <w:lang w:val="zh-CN"/>
        </w:rPr>
        <w:t>其他予以说明的事项</w:t>
      </w:r>
    </w:p>
    <w:p>
      <w:pPr>
        <w:spacing w:line="600" w:lineRule="exact"/>
        <w:rPr>
          <w:rFonts w:ascii="宋体" w:hAnsi="宋体" w:cs="宋体"/>
          <w:szCs w:val="21"/>
        </w:rPr>
      </w:pPr>
      <w:r>
        <w:rPr>
          <w:rFonts w:hint="eastAsia" w:ascii="宋体" w:hAnsi="宋体" w:cs="宋体"/>
          <w:szCs w:val="21"/>
        </w:rPr>
        <w:t xml:space="preserve">    无。</w:t>
      </w: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3</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0"/>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1"/>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5"/>
      <w:lvlText w:val="%1)"/>
      <w:lvlJc w:val="left"/>
      <w:pPr>
        <w:tabs>
          <w:tab w:val="left" w:pos="851"/>
        </w:tabs>
        <w:ind w:left="851" w:hanging="426"/>
      </w:pPr>
      <w:rPr>
        <w:rFonts w:hint="eastAsia" w:ascii="宋体" w:hAnsi="Times New Roman" w:eastAsia="宋体"/>
        <w:sz w:val="21"/>
      </w:rPr>
    </w:lvl>
    <w:lvl w:ilvl="1" w:tentative="0">
      <w:start w:val="1"/>
      <w:numFmt w:val="decimal"/>
      <w:pStyle w:val="26"/>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2"/>
      <w:suff w:val="nothing"/>
      <w:lvlText w:val="%1%2　"/>
      <w:lvlJc w:val="left"/>
      <w:pPr>
        <w:ind w:left="0" w:firstLine="0"/>
      </w:pPr>
      <w:rPr>
        <w:rFonts w:hint="eastAsia" w:ascii="黑体" w:eastAsia="黑体"/>
        <w:b w:val="0"/>
        <w:i w:val="0"/>
        <w:sz w:val="21"/>
      </w:rPr>
    </w:lvl>
    <w:lvl w:ilvl="2" w:tentative="0">
      <w:start w:val="1"/>
      <w:numFmt w:val="decimal"/>
      <w:pStyle w:val="43"/>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27"/>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746BA"/>
    <w:rsid w:val="00076F33"/>
    <w:rsid w:val="00091438"/>
    <w:rsid w:val="000929A1"/>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2193A"/>
    <w:rsid w:val="00131C05"/>
    <w:rsid w:val="001327F4"/>
    <w:rsid w:val="0013476B"/>
    <w:rsid w:val="00140FB8"/>
    <w:rsid w:val="00141B98"/>
    <w:rsid w:val="001446ED"/>
    <w:rsid w:val="00146EDD"/>
    <w:rsid w:val="00161356"/>
    <w:rsid w:val="00165275"/>
    <w:rsid w:val="00183189"/>
    <w:rsid w:val="00183CAA"/>
    <w:rsid w:val="00184D4C"/>
    <w:rsid w:val="00192421"/>
    <w:rsid w:val="00192C8B"/>
    <w:rsid w:val="00194207"/>
    <w:rsid w:val="001A424B"/>
    <w:rsid w:val="001A507A"/>
    <w:rsid w:val="001B4E14"/>
    <w:rsid w:val="001C3ED8"/>
    <w:rsid w:val="001C5231"/>
    <w:rsid w:val="001C55ED"/>
    <w:rsid w:val="001D038D"/>
    <w:rsid w:val="001E6353"/>
    <w:rsid w:val="001F7207"/>
    <w:rsid w:val="001F7AB4"/>
    <w:rsid w:val="002004B4"/>
    <w:rsid w:val="002004D0"/>
    <w:rsid w:val="00206A66"/>
    <w:rsid w:val="00210C5F"/>
    <w:rsid w:val="002145BD"/>
    <w:rsid w:val="00221BDC"/>
    <w:rsid w:val="00224108"/>
    <w:rsid w:val="00243479"/>
    <w:rsid w:val="00247BF2"/>
    <w:rsid w:val="002542CE"/>
    <w:rsid w:val="0026529F"/>
    <w:rsid w:val="00284FBA"/>
    <w:rsid w:val="00285508"/>
    <w:rsid w:val="002864C4"/>
    <w:rsid w:val="00292180"/>
    <w:rsid w:val="00293FB6"/>
    <w:rsid w:val="00294CF4"/>
    <w:rsid w:val="002A3B58"/>
    <w:rsid w:val="002A484B"/>
    <w:rsid w:val="002A6CD7"/>
    <w:rsid w:val="002B4C66"/>
    <w:rsid w:val="002C06C2"/>
    <w:rsid w:val="002C464D"/>
    <w:rsid w:val="002C4E91"/>
    <w:rsid w:val="002C769C"/>
    <w:rsid w:val="002E1DAF"/>
    <w:rsid w:val="002E2F23"/>
    <w:rsid w:val="002F02C5"/>
    <w:rsid w:val="002F3DF7"/>
    <w:rsid w:val="002F7CA0"/>
    <w:rsid w:val="0030109E"/>
    <w:rsid w:val="00307E6D"/>
    <w:rsid w:val="00310AD6"/>
    <w:rsid w:val="00311B24"/>
    <w:rsid w:val="00312657"/>
    <w:rsid w:val="00313D58"/>
    <w:rsid w:val="00316665"/>
    <w:rsid w:val="00316AEB"/>
    <w:rsid w:val="00317C9F"/>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A3A"/>
    <w:rsid w:val="004001EF"/>
    <w:rsid w:val="00403C78"/>
    <w:rsid w:val="00411CCA"/>
    <w:rsid w:val="0042301F"/>
    <w:rsid w:val="00426380"/>
    <w:rsid w:val="00426D41"/>
    <w:rsid w:val="00433F0D"/>
    <w:rsid w:val="00453CFD"/>
    <w:rsid w:val="00454BA9"/>
    <w:rsid w:val="0046366A"/>
    <w:rsid w:val="00472477"/>
    <w:rsid w:val="00473EC6"/>
    <w:rsid w:val="00491AAF"/>
    <w:rsid w:val="00494341"/>
    <w:rsid w:val="00495729"/>
    <w:rsid w:val="004958A9"/>
    <w:rsid w:val="004B42FD"/>
    <w:rsid w:val="004B7CD3"/>
    <w:rsid w:val="004D035F"/>
    <w:rsid w:val="004D25D8"/>
    <w:rsid w:val="004D6719"/>
    <w:rsid w:val="004E142A"/>
    <w:rsid w:val="004E5B62"/>
    <w:rsid w:val="004F77A2"/>
    <w:rsid w:val="004F7B35"/>
    <w:rsid w:val="005023D2"/>
    <w:rsid w:val="00504D78"/>
    <w:rsid w:val="00514919"/>
    <w:rsid w:val="0052574F"/>
    <w:rsid w:val="0053279D"/>
    <w:rsid w:val="0054263F"/>
    <w:rsid w:val="005453CA"/>
    <w:rsid w:val="00547862"/>
    <w:rsid w:val="005517EF"/>
    <w:rsid w:val="00551D13"/>
    <w:rsid w:val="0055341B"/>
    <w:rsid w:val="00554865"/>
    <w:rsid w:val="00560931"/>
    <w:rsid w:val="00576B8F"/>
    <w:rsid w:val="00580A71"/>
    <w:rsid w:val="00581791"/>
    <w:rsid w:val="00596C29"/>
    <w:rsid w:val="005A0A0F"/>
    <w:rsid w:val="005A7101"/>
    <w:rsid w:val="005B04B9"/>
    <w:rsid w:val="005D3277"/>
    <w:rsid w:val="005E1501"/>
    <w:rsid w:val="005E3C02"/>
    <w:rsid w:val="005F1579"/>
    <w:rsid w:val="005F2E08"/>
    <w:rsid w:val="005F79C2"/>
    <w:rsid w:val="00601078"/>
    <w:rsid w:val="00607AF6"/>
    <w:rsid w:val="00612AE7"/>
    <w:rsid w:val="00626486"/>
    <w:rsid w:val="00634184"/>
    <w:rsid w:val="00642FCC"/>
    <w:rsid w:val="00647254"/>
    <w:rsid w:val="00656F8B"/>
    <w:rsid w:val="00657FF9"/>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20F6"/>
    <w:rsid w:val="00735D69"/>
    <w:rsid w:val="0074014F"/>
    <w:rsid w:val="00740307"/>
    <w:rsid w:val="00741613"/>
    <w:rsid w:val="00752B3F"/>
    <w:rsid w:val="007638AD"/>
    <w:rsid w:val="00775364"/>
    <w:rsid w:val="007763BD"/>
    <w:rsid w:val="00781EEC"/>
    <w:rsid w:val="00782CFC"/>
    <w:rsid w:val="00783699"/>
    <w:rsid w:val="00792363"/>
    <w:rsid w:val="007932EA"/>
    <w:rsid w:val="007A0FB8"/>
    <w:rsid w:val="007A282E"/>
    <w:rsid w:val="007A39E9"/>
    <w:rsid w:val="007B25F6"/>
    <w:rsid w:val="007B6B4B"/>
    <w:rsid w:val="007B75E0"/>
    <w:rsid w:val="007C53A8"/>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723B"/>
    <w:rsid w:val="008261D3"/>
    <w:rsid w:val="00840377"/>
    <w:rsid w:val="0085109D"/>
    <w:rsid w:val="008652F1"/>
    <w:rsid w:val="008A1B7C"/>
    <w:rsid w:val="008B5D3C"/>
    <w:rsid w:val="008B6F36"/>
    <w:rsid w:val="008C2741"/>
    <w:rsid w:val="008D51C7"/>
    <w:rsid w:val="008F1A3F"/>
    <w:rsid w:val="00904D19"/>
    <w:rsid w:val="0091049B"/>
    <w:rsid w:val="00911E72"/>
    <w:rsid w:val="009123EA"/>
    <w:rsid w:val="00915B37"/>
    <w:rsid w:val="00916365"/>
    <w:rsid w:val="009303E4"/>
    <w:rsid w:val="0094073D"/>
    <w:rsid w:val="00950997"/>
    <w:rsid w:val="00951150"/>
    <w:rsid w:val="0096265C"/>
    <w:rsid w:val="009649D1"/>
    <w:rsid w:val="00971FFA"/>
    <w:rsid w:val="009729E2"/>
    <w:rsid w:val="00980CC7"/>
    <w:rsid w:val="00983CE9"/>
    <w:rsid w:val="009909D4"/>
    <w:rsid w:val="009910D3"/>
    <w:rsid w:val="00997646"/>
    <w:rsid w:val="009D2B32"/>
    <w:rsid w:val="009D5316"/>
    <w:rsid w:val="009D539D"/>
    <w:rsid w:val="009D5E09"/>
    <w:rsid w:val="009D659E"/>
    <w:rsid w:val="009E3906"/>
    <w:rsid w:val="009E3D3C"/>
    <w:rsid w:val="009E541C"/>
    <w:rsid w:val="009F2FFA"/>
    <w:rsid w:val="009F4E4B"/>
    <w:rsid w:val="009F538F"/>
    <w:rsid w:val="00A00A02"/>
    <w:rsid w:val="00A10C43"/>
    <w:rsid w:val="00A218BA"/>
    <w:rsid w:val="00A33203"/>
    <w:rsid w:val="00A43FDA"/>
    <w:rsid w:val="00A45735"/>
    <w:rsid w:val="00A55416"/>
    <w:rsid w:val="00A577E2"/>
    <w:rsid w:val="00A62621"/>
    <w:rsid w:val="00A65029"/>
    <w:rsid w:val="00A73B4E"/>
    <w:rsid w:val="00A76F83"/>
    <w:rsid w:val="00A854F6"/>
    <w:rsid w:val="00A855B9"/>
    <w:rsid w:val="00A9442A"/>
    <w:rsid w:val="00AA02D0"/>
    <w:rsid w:val="00AA1F60"/>
    <w:rsid w:val="00AB29A6"/>
    <w:rsid w:val="00AC2761"/>
    <w:rsid w:val="00AD128C"/>
    <w:rsid w:val="00AD3B06"/>
    <w:rsid w:val="00AF29E8"/>
    <w:rsid w:val="00AF2FC0"/>
    <w:rsid w:val="00B03E6A"/>
    <w:rsid w:val="00B0432B"/>
    <w:rsid w:val="00B04431"/>
    <w:rsid w:val="00B05335"/>
    <w:rsid w:val="00B07968"/>
    <w:rsid w:val="00B223D8"/>
    <w:rsid w:val="00B227F6"/>
    <w:rsid w:val="00B363A1"/>
    <w:rsid w:val="00B40259"/>
    <w:rsid w:val="00B5376B"/>
    <w:rsid w:val="00B67B85"/>
    <w:rsid w:val="00B710A0"/>
    <w:rsid w:val="00B94948"/>
    <w:rsid w:val="00BA1248"/>
    <w:rsid w:val="00BB392C"/>
    <w:rsid w:val="00BC2A58"/>
    <w:rsid w:val="00BC463B"/>
    <w:rsid w:val="00BC4820"/>
    <w:rsid w:val="00BD2A6B"/>
    <w:rsid w:val="00BE01BA"/>
    <w:rsid w:val="00BE06D9"/>
    <w:rsid w:val="00BF3D86"/>
    <w:rsid w:val="00C02B99"/>
    <w:rsid w:val="00C0676C"/>
    <w:rsid w:val="00C06773"/>
    <w:rsid w:val="00C07FD7"/>
    <w:rsid w:val="00C24F5C"/>
    <w:rsid w:val="00C27F6A"/>
    <w:rsid w:val="00C303B6"/>
    <w:rsid w:val="00C35947"/>
    <w:rsid w:val="00C35DF7"/>
    <w:rsid w:val="00C43FDE"/>
    <w:rsid w:val="00C63018"/>
    <w:rsid w:val="00C63B25"/>
    <w:rsid w:val="00C70BED"/>
    <w:rsid w:val="00C76244"/>
    <w:rsid w:val="00C82E2D"/>
    <w:rsid w:val="00C85261"/>
    <w:rsid w:val="00CA6EBE"/>
    <w:rsid w:val="00CC70B8"/>
    <w:rsid w:val="00CC7860"/>
    <w:rsid w:val="00CD43CB"/>
    <w:rsid w:val="00CD6C9A"/>
    <w:rsid w:val="00CF074D"/>
    <w:rsid w:val="00CF5406"/>
    <w:rsid w:val="00D108F4"/>
    <w:rsid w:val="00D17521"/>
    <w:rsid w:val="00D200D6"/>
    <w:rsid w:val="00D20E90"/>
    <w:rsid w:val="00D23634"/>
    <w:rsid w:val="00D24E58"/>
    <w:rsid w:val="00D45ECB"/>
    <w:rsid w:val="00D7033C"/>
    <w:rsid w:val="00D84706"/>
    <w:rsid w:val="00D85F2C"/>
    <w:rsid w:val="00D90933"/>
    <w:rsid w:val="00DA2F01"/>
    <w:rsid w:val="00DB0013"/>
    <w:rsid w:val="00DB3454"/>
    <w:rsid w:val="00DC3630"/>
    <w:rsid w:val="00DD718B"/>
    <w:rsid w:val="00DD7EBE"/>
    <w:rsid w:val="00DE2825"/>
    <w:rsid w:val="00DF5125"/>
    <w:rsid w:val="00DF6A53"/>
    <w:rsid w:val="00DF6A54"/>
    <w:rsid w:val="00E00C17"/>
    <w:rsid w:val="00E025A9"/>
    <w:rsid w:val="00E07DFE"/>
    <w:rsid w:val="00E11A6F"/>
    <w:rsid w:val="00E166E6"/>
    <w:rsid w:val="00E1672C"/>
    <w:rsid w:val="00E42B81"/>
    <w:rsid w:val="00E47E34"/>
    <w:rsid w:val="00E50118"/>
    <w:rsid w:val="00E56F40"/>
    <w:rsid w:val="00E72BD3"/>
    <w:rsid w:val="00E74BFC"/>
    <w:rsid w:val="00E75D8B"/>
    <w:rsid w:val="00E77999"/>
    <w:rsid w:val="00E95999"/>
    <w:rsid w:val="00EA4114"/>
    <w:rsid w:val="00EA7644"/>
    <w:rsid w:val="00EB1602"/>
    <w:rsid w:val="00EB46D7"/>
    <w:rsid w:val="00EC5B9D"/>
    <w:rsid w:val="00ED545D"/>
    <w:rsid w:val="00EE0B00"/>
    <w:rsid w:val="00F3640C"/>
    <w:rsid w:val="00F3754A"/>
    <w:rsid w:val="00F46547"/>
    <w:rsid w:val="00F50275"/>
    <w:rsid w:val="00F5148D"/>
    <w:rsid w:val="00F51C56"/>
    <w:rsid w:val="00F52715"/>
    <w:rsid w:val="00F61FAD"/>
    <w:rsid w:val="00F64A7B"/>
    <w:rsid w:val="00F82FB7"/>
    <w:rsid w:val="00F842D4"/>
    <w:rsid w:val="00F9244E"/>
    <w:rsid w:val="00F937EE"/>
    <w:rsid w:val="00F96C35"/>
    <w:rsid w:val="00FB4480"/>
    <w:rsid w:val="00FD0271"/>
    <w:rsid w:val="00FD4FE4"/>
    <w:rsid w:val="00FE1150"/>
    <w:rsid w:val="00FE3DBE"/>
    <w:rsid w:val="00FF1806"/>
    <w:rsid w:val="00FF4757"/>
    <w:rsid w:val="00FF5E2B"/>
    <w:rsid w:val="00FF60E8"/>
    <w:rsid w:val="010529A1"/>
    <w:rsid w:val="015D78C2"/>
    <w:rsid w:val="01F8525A"/>
    <w:rsid w:val="025A548B"/>
    <w:rsid w:val="0267744B"/>
    <w:rsid w:val="032B7CCC"/>
    <w:rsid w:val="03EF27C8"/>
    <w:rsid w:val="03F3608F"/>
    <w:rsid w:val="03F73430"/>
    <w:rsid w:val="04B406C8"/>
    <w:rsid w:val="051A11D0"/>
    <w:rsid w:val="055B54AE"/>
    <w:rsid w:val="05B71053"/>
    <w:rsid w:val="07282BD2"/>
    <w:rsid w:val="073525D0"/>
    <w:rsid w:val="07933427"/>
    <w:rsid w:val="07BE0EAF"/>
    <w:rsid w:val="084D6DC9"/>
    <w:rsid w:val="08591C04"/>
    <w:rsid w:val="08C30585"/>
    <w:rsid w:val="090215F0"/>
    <w:rsid w:val="091229C5"/>
    <w:rsid w:val="093B6561"/>
    <w:rsid w:val="094B1189"/>
    <w:rsid w:val="09FF031A"/>
    <w:rsid w:val="0A9E3E3B"/>
    <w:rsid w:val="0AA00011"/>
    <w:rsid w:val="0B090D2C"/>
    <w:rsid w:val="0B9567CA"/>
    <w:rsid w:val="0C7A2535"/>
    <w:rsid w:val="0C7A6ED4"/>
    <w:rsid w:val="0D1C75CD"/>
    <w:rsid w:val="0D5F0B5D"/>
    <w:rsid w:val="0EE86A55"/>
    <w:rsid w:val="10DF406E"/>
    <w:rsid w:val="11926D8D"/>
    <w:rsid w:val="11E90053"/>
    <w:rsid w:val="12BF58FF"/>
    <w:rsid w:val="12F24C1A"/>
    <w:rsid w:val="13176148"/>
    <w:rsid w:val="13760D4E"/>
    <w:rsid w:val="13767950"/>
    <w:rsid w:val="14147A3B"/>
    <w:rsid w:val="15020CA3"/>
    <w:rsid w:val="155D62E6"/>
    <w:rsid w:val="16035571"/>
    <w:rsid w:val="162639CD"/>
    <w:rsid w:val="16436BBB"/>
    <w:rsid w:val="16BB474E"/>
    <w:rsid w:val="180E1119"/>
    <w:rsid w:val="18393541"/>
    <w:rsid w:val="18A176F2"/>
    <w:rsid w:val="18A500EF"/>
    <w:rsid w:val="18C35161"/>
    <w:rsid w:val="195D7E33"/>
    <w:rsid w:val="198552B3"/>
    <w:rsid w:val="19970503"/>
    <w:rsid w:val="19C27D7F"/>
    <w:rsid w:val="1B002FFA"/>
    <w:rsid w:val="1B9907D4"/>
    <w:rsid w:val="1BE76BEB"/>
    <w:rsid w:val="1C0C749B"/>
    <w:rsid w:val="1C2A1FFA"/>
    <w:rsid w:val="1D7D286E"/>
    <w:rsid w:val="1DD31238"/>
    <w:rsid w:val="1F6736C2"/>
    <w:rsid w:val="1F783185"/>
    <w:rsid w:val="2071095A"/>
    <w:rsid w:val="20840C8E"/>
    <w:rsid w:val="208D6BBB"/>
    <w:rsid w:val="21D7460A"/>
    <w:rsid w:val="2216145C"/>
    <w:rsid w:val="223649D8"/>
    <w:rsid w:val="22A45836"/>
    <w:rsid w:val="22B34C76"/>
    <w:rsid w:val="23027041"/>
    <w:rsid w:val="237A0EA4"/>
    <w:rsid w:val="238C742E"/>
    <w:rsid w:val="23A75EEF"/>
    <w:rsid w:val="24481FE0"/>
    <w:rsid w:val="248764B8"/>
    <w:rsid w:val="24BC14A0"/>
    <w:rsid w:val="259768C4"/>
    <w:rsid w:val="25F36AC0"/>
    <w:rsid w:val="26177B96"/>
    <w:rsid w:val="26A45E4D"/>
    <w:rsid w:val="26D20B6F"/>
    <w:rsid w:val="272711D4"/>
    <w:rsid w:val="27533EE6"/>
    <w:rsid w:val="29417347"/>
    <w:rsid w:val="29A852E1"/>
    <w:rsid w:val="29EB4EC7"/>
    <w:rsid w:val="2A2F41FE"/>
    <w:rsid w:val="2A4D3368"/>
    <w:rsid w:val="2A721FF8"/>
    <w:rsid w:val="2B187193"/>
    <w:rsid w:val="2B2C3011"/>
    <w:rsid w:val="2B59385C"/>
    <w:rsid w:val="2B882FE3"/>
    <w:rsid w:val="2BFE0E57"/>
    <w:rsid w:val="2CF74318"/>
    <w:rsid w:val="2CFB12C0"/>
    <w:rsid w:val="2E060545"/>
    <w:rsid w:val="2E1F36AF"/>
    <w:rsid w:val="2FFC7C4A"/>
    <w:rsid w:val="30305AEA"/>
    <w:rsid w:val="304B257B"/>
    <w:rsid w:val="30B0524B"/>
    <w:rsid w:val="30B11B46"/>
    <w:rsid w:val="324C2EAE"/>
    <w:rsid w:val="32D166F5"/>
    <w:rsid w:val="33152293"/>
    <w:rsid w:val="339F6C4E"/>
    <w:rsid w:val="33DA06F7"/>
    <w:rsid w:val="340F48FC"/>
    <w:rsid w:val="34265515"/>
    <w:rsid w:val="343C1419"/>
    <w:rsid w:val="34AF2C20"/>
    <w:rsid w:val="34C11256"/>
    <w:rsid w:val="35031581"/>
    <w:rsid w:val="351202FF"/>
    <w:rsid w:val="351647A5"/>
    <w:rsid w:val="35BC388F"/>
    <w:rsid w:val="3609360F"/>
    <w:rsid w:val="361B04A0"/>
    <w:rsid w:val="365C6355"/>
    <w:rsid w:val="36646E1F"/>
    <w:rsid w:val="36825C5E"/>
    <w:rsid w:val="36C55F68"/>
    <w:rsid w:val="37265173"/>
    <w:rsid w:val="37D35893"/>
    <w:rsid w:val="383E4EC8"/>
    <w:rsid w:val="385A6D44"/>
    <w:rsid w:val="386A7099"/>
    <w:rsid w:val="389337B6"/>
    <w:rsid w:val="393E24A6"/>
    <w:rsid w:val="39A560B6"/>
    <w:rsid w:val="3AA14BDA"/>
    <w:rsid w:val="3B267C8A"/>
    <w:rsid w:val="3BC86EC9"/>
    <w:rsid w:val="3BE6368D"/>
    <w:rsid w:val="3C523343"/>
    <w:rsid w:val="3C890106"/>
    <w:rsid w:val="3D1651F0"/>
    <w:rsid w:val="3D4D254F"/>
    <w:rsid w:val="3D6B1A8C"/>
    <w:rsid w:val="3DED4844"/>
    <w:rsid w:val="3E712FA9"/>
    <w:rsid w:val="3EBE5E7C"/>
    <w:rsid w:val="3F5F3197"/>
    <w:rsid w:val="3FAD462D"/>
    <w:rsid w:val="3FEC7CB4"/>
    <w:rsid w:val="40687AEB"/>
    <w:rsid w:val="40DC4C45"/>
    <w:rsid w:val="40DF6FA1"/>
    <w:rsid w:val="41922BF1"/>
    <w:rsid w:val="41A20AF6"/>
    <w:rsid w:val="4218487C"/>
    <w:rsid w:val="42486ADC"/>
    <w:rsid w:val="426E4241"/>
    <w:rsid w:val="42F1542D"/>
    <w:rsid w:val="43085A8E"/>
    <w:rsid w:val="43251536"/>
    <w:rsid w:val="43CF576B"/>
    <w:rsid w:val="43D766A6"/>
    <w:rsid w:val="445E5402"/>
    <w:rsid w:val="446C1C00"/>
    <w:rsid w:val="44774F25"/>
    <w:rsid w:val="4479634B"/>
    <w:rsid w:val="45841D41"/>
    <w:rsid w:val="458D7872"/>
    <w:rsid w:val="45A80E29"/>
    <w:rsid w:val="46387E1F"/>
    <w:rsid w:val="465E0411"/>
    <w:rsid w:val="46633C2B"/>
    <w:rsid w:val="46CB1754"/>
    <w:rsid w:val="46E771D4"/>
    <w:rsid w:val="47170634"/>
    <w:rsid w:val="47B411D0"/>
    <w:rsid w:val="47C066CC"/>
    <w:rsid w:val="47D55B81"/>
    <w:rsid w:val="48B6365C"/>
    <w:rsid w:val="48C64ECB"/>
    <w:rsid w:val="48FB6A8F"/>
    <w:rsid w:val="493A6E76"/>
    <w:rsid w:val="497F6E31"/>
    <w:rsid w:val="499D3D96"/>
    <w:rsid w:val="49C778F0"/>
    <w:rsid w:val="49DF1C3F"/>
    <w:rsid w:val="4AA27F9B"/>
    <w:rsid w:val="4B32363B"/>
    <w:rsid w:val="4B667B2B"/>
    <w:rsid w:val="4B735DE7"/>
    <w:rsid w:val="4BC3729A"/>
    <w:rsid w:val="4BF23E4F"/>
    <w:rsid w:val="4C4607DA"/>
    <w:rsid w:val="4CFF6B43"/>
    <w:rsid w:val="4D4675DD"/>
    <w:rsid w:val="4D6466CB"/>
    <w:rsid w:val="4E092FFA"/>
    <w:rsid w:val="4EF1621C"/>
    <w:rsid w:val="4F523FD7"/>
    <w:rsid w:val="4F7D08F7"/>
    <w:rsid w:val="50016AC2"/>
    <w:rsid w:val="50123898"/>
    <w:rsid w:val="50427E43"/>
    <w:rsid w:val="51AB68BB"/>
    <w:rsid w:val="51BE3532"/>
    <w:rsid w:val="52A73009"/>
    <w:rsid w:val="52D46729"/>
    <w:rsid w:val="530024DC"/>
    <w:rsid w:val="53194738"/>
    <w:rsid w:val="53836818"/>
    <w:rsid w:val="53DA11A0"/>
    <w:rsid w:val="53E32E8A"/>
    <w:rsid w:val="54915BA9"/>
    <w:rsid w:val="54C2402E"/>
    <w:rsid w:val="564B6B63"/>
    <w:rsid w:val="56514C21"/>
    <w:rsid w:val="567345E6"/>
    <w:rsid w:val="568E367B"/>
    <w:rsid w:val="56A70A5C"/>
    <w:rsid w:val="570B3917"/>
    <w:rsid w:val="5749021F"/>
    <w:rsid w:val="5779299C"/>
    <w:rsid w:val="57D85739"/>
    <w:rsid w:val="580F3D30"/>
    <w:rsid w:val="58221A49"/>
    <w:rsid w:val="58B42698"/>
    <w:rsid w:val="592D575A"/>
    <w:rsid w:val="596407D3"/>
    <w:rsid w:val="5A573610"/>
    <w:rsid w:val="5B6F6F42"/>
    <w:rsid w:val="5B825CAE"/>
    <w:rsid w:val="5B9B4131"/>
    <w:rsid w:val="5BEF6CB4"/>
    <w:rsid w:val="5C476F4F"/>
    <w:rsid w:val="5C9748E3"/>
    <w:rsid w:val="5CBC6CD8"/>
    <w:rsid w:val="5CD740E4"/>
    <w:rsid w:val="5DB7078B"/>
    <w:rsid w:val="5E0B66F4"/>
    <w:rsid w:val="5E7D3DE6"/>
    <w:rsid w:val="5EE83FD6"/>
    <w:rsid w:val="5F093E9D"/>
    <w:rsid w:val="5F8C425B"/>
    <w:rsid w:val="6045177F"/>
    <w:rsid w:val="60F308EF"/>
    <w:rsid w:val="6176717E"/>
    <w:rsid w:val="61A76DC0"/>
    <w:rsid w:val="62186AF3"/>
    <w:rsid w:val="62492AD7"/>
    <w:rsid w:val="62A10B56"/>
    <w:rsid w:val="62BB5C43"/>
    <w:rsid w:val="63653051"/>
    <w:rsid w:val="63737A74"/>
    <w:rsid w:val="637A6826"/>
    <w:rsid w:val="639C2195"/>
    <w:rsid w:val="645B0D09"/>
    <w:rsid w:val="658028C9"/>
    <w:rsid w:val="66116ABA"/>
    <w:rsid w:val="665373D5"/>
    <w:rsid w:val="66924654"/>
    <w:rsid w:val="66C1218C"/>
    <w:rsid w:val="66DF3DF0"/>
    <w:rsid w:val="677B141F"/>
    <w:rsid w:val="67FB3499"/>
    <w:rsid w:val="68467EA7"/>
    <w:rsid w:val="6A2C74F0"/>
    <w:rsid w:val="6A613793"/>
    <w:rsid w:val="6AAB298E"/>
    <w:rsid w:val="6B8D4C87"/>
    <w:rsid w:val="6C2E17BA"/>
    <w:rsid w:val="6D762C20"/>
    <w:rsid w:val="6E1950F6"/>
    <w:rsid w:val="6E310AD8"/>
    <w:rsid w:val="6E940B7A"/>
    <w:rsid w:val="703A272E"/>
    <w:rsid w:val="717C721C"/>
    <w:rsid w:val="719566D4"/>
    <w:rsid w:val="72294B2F"/>
    <w:rsid w:val="74D06A77"/>
    <w:rsid w:val="75065DB7"/>
    <w:rsid w:val="76CC29FB"/>
    <w:rsid w:val="770F35FE"/>
    <w:rsid w:val="777B5002"/>
    <w:rsid w:val="78477BB6"/>
    <w:rsid w:val="785A5B03"/>
    <w:rsid w:val="79C4024E"/>
    <w:rsid w:val="79FC265D"/>
    <w:rsid w:val="7ABE4CD1"/>
    <w:rsid w:val="7AFE606B"/>
    <w:rsid w:val="7B5254FB"/>
    <w:rsid w:val="7B5935FD"/>
    <w:rsid w:val="7BB27F43"/>
    <w:rsid w:val="7BB72EDA"/>
    <w:rsid w:val="7BDB6CDC"/>
    <w:rsid w:val="7C340505"/>
    <w:rsid w:val="7C471EE4"/>
    <w:rsid w:val="7D4635B2"/>
    <w:rsid w:val="7D64173C"/>
    <w:rsid w:val="7D777A3E"/>
    <w:rsid w:val="7DFC1F91"/>
    <w:rsid w:val="7E0916DD"/>
    <w:rsid w:val="7E405882"/>
    <w:rsid w:val="7EA254FE"/>
    <w:rsid w:val="7EA875E5"/>
    <w:rsid w:val="D68E3D55"/>
    <w:rsid w:val="DFDF394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9"/>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0"/>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1"/>
    <w:qFormat/>
    <w:uiPriority w:val="99"/>
    <w:pPr>
      <w:keepNext/>
      <w:keepLines/>
      <w:spacing w:before="260" w:after="260" w:line="416" w:lineRule="auto"/>
      <w:outlineLvl w:val="2"/>
    </w:pPr>
    <w:rPr>
      <w:b/>
      <w:bCs/>
      <w:kern w:val="0"/>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32"/>
    <w:semiHidden/>
    <w:qFormat/>
    <w:uiPriority w:val="99"/>
    <w:pPr>
      <w:jc w:val="left"/>
    </w:pPr>
    <w:rPr>
      <w:kern w:val="0"/>
      <w:sz w:val="20"/>
      <w:szCs w:val="21"/>
    </w:rPr>
  </w:style>
  <w:style w:type="paragraph" w:styleId="6">
    <w:name w:val="Date"/>
    <w:basedOn w:val="1"/>
    <w:next w:val="1"/>
    <w:link w:val="33"/>
    <w:semiHidden/>
    <w:qFormat/>
    <w:uiPriority w:val="99"/>
    <w:pPr>
      <w:ind w:left="100" w:leftChars="2500"/>
    </w:pPr>
  </w:style>
  <w:style w:type="paragraph" w:styleId="7">
    <w:name w:val="Balloon Text"/>
    <w:basedOn w:val="1"/>
    <w:link w:val="34"/>
    <w:semiHidden/>
    <w:qFormat/>
    <w:uiPriority w:val="99"/>
    <w:rPr>
      <w:kern w:val="0"/>
      <w:sz w:val="18"/>
      <w:szCs w:val="18"/>
    </w:rPr>
  </w:style>
  <w:style w:type="paragraph" w:styleId="8">
    <w:name w:val="footer"/>
    <w:basedOn w:val="1"/>
    <w:link w:val="35"/>
    <w:qFormat/>
    <w:uiPriority w:val="99"/>
    <w:pPr>
      <w:tabs>
        <w:tab w:val="center" w:pos="4153"/>
        <w:tab w:val="right" w:pos="8306"/>
      </w:tabs>
      <w:snapToGrid w:val="0"/>
      <w:jc w:val="left"/>
    </w:pPr>
    <w:rPr>
      <w:kern w:val="0"/>
      <w:sz w:val="18"/>
      <w:szCs w:val="18"/>
    </w:rPr>
  </w:style>
  <w:style w:type="paragraph" w:styleId="9">
    <w:name w:val="header"/>
    <w:basedOn w:val="1"/>
    <w:link w:val="36"/>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qFormat/>
    <w:uiPriority w:val="99"/>
    <w:pPr>
      <w:tabs>
        <w:tab w:val="right" w:leader="dot" w:pos="9241"/>
      </w:tabs>
      <w:spacing w:beforeLines="25" w:afterLines="25"/>
      <w:jc w:val="left"/>
    </w:pPr>
    <w:rPr>
      <w:rFonts w:ascii="宋体"/>
      <w:szCs w:val="21"/>
    </w:rPr>
  </w:style>
  <w:style w:type="paragraph" w:styleId="11">
    <w:name w:val="toc 2"/>
    <w:basedOn w:val="1"/>
    <w:next w:val="1"/>
    <w:qFormat/>
    <w:uiPriority w:val="99"/>
    <w:pPr>
      <w:tabs>
        <w:tab w:val="right" w:leader="dot" w:pos="9241"/>
      </w:tabs>
    </w:pPr>
    <w:rPr>
      <w:rFonts w:ascii="宋体"/>
      <w:szCs w:val="21"/>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5">
    <w:name w:val="Emphasis"/>
    <w:basedOn w:val="14"/>
    <w:qFormat/>
    <w:locked/>
    <w:uiPriority w:val="20"/>
    <w:rPr>
      <w:i/>
    </w:rPr>
  </w:style>
  <w:style w:type="character" w:styleId="16">
    <w:name w:val="Hyperlink"/>
    <w:semiHidden/>
    <w:qFormat/>
    <w:uiPriority w:val="99"/>
    <w:rPr>
      <w:rFonts w:cs="Times New Roman"/>
      <w:color w:val="0000CC"/>
      <w:u w:val="single"/>
    </w:rPr>
  </w:style>
  <w:style w:type="character" w:styleId="17">
    <w:name w:val="annotation reference"/>
    <w:semiHidden/>
    <w:qFormat/>
    <w:uiPriority w:val="99"/>
    <w:rPr>
      <w:rFonts w:cs="Times New Roman"/>
      <w:sz w:val="21"/>
    </w:rPr>
  </w:style>
  <w:style w:type="paragraph" w:customStyle="1" w:styleId="18">
    <w:name w:val="段"/>
    <w:link w:val="37"/>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19">
    <w:name w:val="列出段落1"/>
    <w:basedOn w:val="1"/>
    <w:qFormat/>
    <w:uiPriority w:val="99"/>
    <w:pPr>
      <w:ind w:firstLine="420" w:firstLineChars="200"/>
    </w:pPr>
  </w:style>
  <w:style w:type="paragraph" w:customStyle="1" w:styleId="20">
    <w:name w:val="目次、标准名称标题"/>
    <w:basedOn w:val="1"/>
    <w:next w:val="18"/>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1">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5">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26">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27">
    <w:name w:val="标准文件_二级条标题"/>
    <w:next w:val="22"/>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28">
    <w:name w:val="标准文件_三级条标题"/>
    <w:next w:val="22"/>
    <w:qFormat/>
    <w:uiPriority w:val="0"/>
    <w:pPr>
      <w:outlineLvl w:val="3"/>
    </w:pPr>
    <w:rPr>
      <w:rFonts w:ascii="Times New Roman" w:hAnsi="Times New Roman" w:eastAsia="宋体" w:cs="Times New Roman"/>
      <w:lang w:val="en-US" w:eastAsia="zh-CN" w:bidi="ar-SA"/>
    </w:rPr>
  </w:style>
  <w:style w:type="character" w:customStyle="1" w:styleId="29">
    <w:name w:val="标题 1 字符"/>
    <w:link w:val="2"/>
    <w:qFormat/>
    <w:locked/>
    <w:uiPriority w:val="99"/>
    <w:rPr>
      <w:rFonts w:cs="Times New Roman"/>
      <w:b/>
      <w:kern w:val="44"/>
      <w:sz w:val="44"/>
    </w:rPr>
  </w:style>
  <w:style w:type="character" w:customStyle="1" w:styleId="30">
    <w:name w:val="标题 2 字符"/>
    <w:link w:val="3"/>
    <w:qFormat/>
    <w:locked/>
    <w:uiPriority w:val="99"/>
    <w:rPr>
      <w:rFonts w:ascii="Cambria" w:hAnsi="Cambria" w:eastAsia="宋体" w:cs="Times New Roman"/>
      <w:b/>
      <w:sz w:val="32"/>
    </w:rPr>
  </w:style>
  <w:style w:type="character" w:customStyle="1" w:styleId="31">
    <w:name w:val="标题 3 字符"/>
    <w:link w:val="4"/>
    <w:qFormat/>
    <w:locked/>
    <w:uiPriority w:val="99"/>
    <w:rPr>
      <w:rFonts w:cs="Times New Roman"/>
      <w:b/>
      <w:sz w:val="32"/>
    </w:rPr>
  </w:style>
  <w:style w:type="character" w:customStyle="1" w:styleId="32">
    <w:name w:val="批注文字 字符"/>
    <w:link w:val="5"/>
    <w:semiHidden/>
    <w:qFormat/>
    <w:locked/>
    <w:uiPriority w:val="99"/>
    <w:rPr>
      <w:rFonts w:ascii="Calibri" w:hAnsi="Calibri" w:eastAsia="宋体" w:cs="Times New Roman"/>
      <w:sz w:val="21"/>
    </w:rPr>
  </w:style>
  <w:style w:type="character" w:customStyle="1" w:styleId="33">
    <w:name w:val="日期 字符"/>
    <w:link w:val="6"/>
    <w:semiHidden/>
    <w:qFormat/>
    <w:locked/>
    <w:uiPriority w:val="99"/>
    <w:rPr>
      <w:rFonts w:cs="Times New Roman"/>
      <w:kern w:val="2"/>
      <w:sz w:val="22"/>
      <w:szCs w:val="22"/>
    </w:rPr>
  </w:style>
  <w:style w:type="character" w:customStyle="1" w:styleId="34">
    <w:name w:val="批注框文本 字符"/>
    <w:link w:val="7"/>
    <w:semiHidden/>
    <w:qFormat/>
    <w:locked/>
    <w:uiPriority w:val="99"/>
    <w:rPr>
      <w:rFonts w:cs="Times New Roman"/>
      <w:sz w:val="18"/>
    </w:rPr>
  </w:style>
  <w:style w:type="character" w:customStyle="1" w:styleId="35">
    <w:name w:val="页脚 字符"/>
    <w:link w:val="8"/>
    <w:qFormat/>
    <w:locked/>
    <w:uiPriority w:val="99"/>
    <w:rPr>
      <w:rFonts w:cs="Times New Roman"/>
      <w:sz w:val="18"/>
    </w:rPr>
  </w:style>
  <w:style w:type="character" w:customStyle="1" w:styleId="36">
    <w:name w:val="页眉 字符"/>
    <w:link w:val="9"/>
    <w:qFormat/>
    <w:locked/>
    <w:uiPriority w:val="99"/>
    <w:rPr>
      <w:rFonts w:cs="Times New Roman"/>
      <w:sz w:val="18"/>
    </w:rPr>
  </w:style>
  <w:style w:type="character" w:customStyle="1" w:styleId="37">
    <w:name w:val="段 Char"/>
    <w:link w:val="18"/>
    <w:qFormat/>
    <w:locked/>
    <w:uiPriority w:val="99"/>
    <w:rPr>
      <w:rFonts w:ascii="宋体" w:hAnsi="Times New Roman"/>
      <w:sz w:val="22"/>
    </w:rPr>
  </w:style>
  <w:style w:type="character" w:customStyle="1" w:styleId="38">
    <w:name w:val="占位符文本1"/>
    <w:semiHidden/>
    <w:qFormat/>
    <w:uiPriority w:val="99"/>
    <w:rPr>
      <w:rFonts w:cs="Times New Roman"/>
      <w:color w:val="808080"/>
    </w:rPr>
  </w:style>
  <w:style w:type="character" w:customStyle="1" w:styleId="39">
    <w:name w:val="fontstyle01"/>
    <w:qFormat/>
    <w:uiPriority w:val="0"/>
    <w:rPr>
      <w:rFonts w:ascii="宋体" w:hAnsi="宋体" w:eastAsia="宋体" w:cs="宋体"/>
      <w:color w:val="000000"/>
      <w:sz w:val="22"/>
      <w:szCs w:val="22"/>
    </w:rPr>
  </w:style>
  <w:style w:type="paragraph" w:customStyle="1" w:styleId="40">
    <w:name w:val="一级条标题"/>
    <w:next w:val="18"/>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1">
    <w:name w:val="二级条标题"/>
    <w:basedOn w:val="40"/>
    <w:next w:val="18"/>
    <w:qFormat/>
    <w:uiPriority w:val="0"/>
    <w:pPr>
      <w:numPr>
        <w:ilvl w:val="2"/>
      </w:numPr>
      <w:spacing w:before="50" w:after="50"/>
      <w:outlineLvl w:val="3"/>
    </w:pPr>
  </w:style>
  <w:style w:type="paragraph" w:customStyle="1" w:styleId="42">
    <w:name w:val="标准文件_章标题"/>
    <w:next w:val="22"/>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3">
    <w:name w:val="标准文件_一级条标题"/>
    <w:basedOn w:val="42"/>
    <w:next w:val="22"/>
    <w:qFormat/>
    <w:uiPriority w:val="0"/>
    <w:pPr>
      <w:numPr>
        <w:ilvl w:val="2"/>
      </w:numPr>
      <w:spacing w:before="50" w:beforeLines="50" w:after="50" w:afterLines="50"/>
      <w:outlineLvl w:val="1"/>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7.wmf"/><Relationship Id="rId21" Type="http://schemas.openxmlformats.org/officeDocument/2006/relationships/oleObject" Target="embeddings/oleObject10.bin"/><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6.wmf"/><Relationship Id="rId18" Type="http://schemas.openxmlformats.org/officeDocument/2006/relationships/oleObject" Target="embeddings/oleObject8.bin"/><Relationship Id="rId17" Type="http://schemas.openxmlformats.org/officeDocument/2006/relationships/image" Target="media/image5.wmf"/><Relationship Id="rId16" Type="http://schemas.openxmlformats.org/officeDocument/2006/relationships/oleObject" Target="embeddings/oleObject7.bin"/><Relationship Id="rId15" Type="http://schemas.openxmlformats.org/officeDocument/2006/relationships/image" Target="media/image4.wmf"/><Relationship Id="rId14" Type="http://schemas.openxmlformats.org/officeDocument/2006/relationships/oleObject" Target="embeddings/oleObject6.bin"/><Relationship Id="rId13" Type="http://schemas.openxmlformats.org/officeDocument/2006/relationships/oleObject" Target="embeddings/oleObject5.bin"/><Relationship Id="rId12" Type="http://schemas.openxmlformats.org/officeDocument/2006/relationships/image" Target="media/image3.wmf"/><Relationship Id="rId11" Type="http://schemas.openxmlformats.org/officeDocument/2006/relationships/oleObject" Target="embeddings/oleObject4.bin"/><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3035</Words>
  <Characters>3233</Characters>
  <Lines>27</Lines>
  <Paragraphs>7</Paragraphs>
  <TotalTime>5</TotalTime>
  <ScaleCrop>false</ScaleCrop>
  <LinksUpToDate>false</LinksUpToDate>
  <CharactersWithSpaces>3304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2023-06-29T01:47:00Z</dcterms:created>
  <dc:creator>liu</dc:creator>
  <cp:lastModifiedBy>大萝卜</cp:lastModifiedBy>
  <cp:lastPrinted>2020-06-02T00:06:00Z</cp:lastPrinted>
  <dcterms:modified xsi:type="dcterms:W3CDTF">2023-06-29T08:28:39Z</dcterms:modified>
  <dc:title>中国仪器仪表行业协会团体标准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E08D03F88AC146D2B2725C9BE0A1FA53_13</vt:lpwstr>
  </property>
</Properties>
</file>